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446B" w14:textId="77777777" w:rsidR="00E7657A" w:rsidRDefault="00B90549" w:rsidP="00B24449">
      <w:pPr>
        <w:rPr>
          <w:b/>
        </w:rPr>
      </w:pPr>
      <w:r>
        <w:rPr>
          <w:b/>
        </w:rPr>
        <w:t>PhD studentship Project information</w:t>
      </w:r>
    </w:p>
    <w:p w14:paraId="07C4F8D9" w14:textId="77777777" w:rsidR="00B90549" w:rsidRDefault="00B90549" w:rsidP="00B24449">
      <w:pPr>
        <w:rPr>
          <w:b/>
        </w:rPr>
      </w:pPr>
      <w:r>
        <w:rPr>
          <w:b/>
        </w:rPr>
        <w:t>Funding Source:</w:t>
      </w:r>
      <w:r w:rsidR="001A22DD">
        <w:rPr>
          <w:b/>
        </w:rPr>
        <w:t xml:space="preserve"> </w:t>
      </w:r>
      <w:r w:rsidR="001A22DD" w:rsidRPr="001A22DD">
        <w:t>CENTA DTP</w:t>
      </w:r>
    </w:p>
    <w:p w14:paraId="2A8B4286" w14:textId="77777777"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A22DD" w:rsidRPr="001A22DD">
        <w:t>25</w:t>
      </w:r>
      <w:r w:rsidR="001A22DD" w:rsidRPr="001A22DD">
        <w:rPr>
          <w:vertAlign w:val="superscript"/>
        </w:rPr>
        <w:t>th</w:t>
      </w:r>
      <w:r w:rsidR="001A22DD" w:rsidRPr="001A22DD">
        <w:t xml:space="preserve"> September 2023</w:t>
      </w:r>
    </w:p>
    <w:p w14:paraId="3B83D02B" w14:textId="0DB2F91D" w:rsidR="00797C94" w:rsidRPr="00D1675B" w:rsidRDefault="00797C94" w:rsidP="00342954">
      <w:pPr>
        <w:jc w:val="both"/>
        <w:rPr>
          <w:b/>
          <w:color w:val="FF0000"/>
        </w:rPr>
      </w:pPr>
      <w:r w:rsidRPr="00D1675B">
        <w:rPr>
          <w:b/>
        </w:rPr>
        <w:t xml:space="preserve">Closing date </w:t>
      </w:r>
      <w:r w:rsidR="00B90549">
        <w:rPr>
          <w:b/>
        </w:rPr>
        <w:t>for applications</w:t>
      </w:r>
      <w:r w:rsidR="00B90549" w:rsidRPr="00342954">
        <w:rPr>
          <w:bCs/>
        </w:rPr>
        <w:t>:</w:t>
      </w:r>
      <w:r w:rsidR="001A22DD" w:rsidRPr="00342954">
        <w:rPr>
          <w:bCs/>
        </w:rPr>
        <w:t xml:space="preserve"> </w:t>
      </w:r>
      <w:r w:rsidR="00342954" w:rsidRPr="00342954">
        <w:rPr>
          <w:bCs/>
        </w:rPr>
        <w:t>11</w:t>
      </w:r>
      <w:r w:rsidR="00342954" w:rsidRPr="00342954">
        <w:rPr>
          <w:bCs/>
          <w:vertAlign w:val="superscript"/>
        </w:rPr>
        <w:t>th</w:t>
      </w:r>
      <w:r w:rsidR="00342954" w:rsidRPr="00342954">
        <w:rPr>
          <w:bCs/>
        </w:rPr>
        <w:t xml:space="preserve"> January 2023</w:t>
      </w:r>
    </w:p>
    <w:p w14:paraId="4AD5D205" w14:textId="77777777" w:rsidR="00186CBA" w:rsidRDefault="00186CBA" w:rsidP="00186CBA">
      <w:pPr>
        <w:ind w:left="1440" w:hanging="1440"/>
        <w:rPr>
          <w:rStyle w:val="Hyperlink"/>
          <w:color w:val="FF0000"/>
          <w:u w:val="none"/>
        </w:rPr>
      </w:pPr>
      <w:r w:rsidRPr="00D1675B">
        <w:rPr>
          <w:rStyle w:val="Hyperlink"/>
          <w:b/>
          <w:color w:val="auto"/>
          <w:u w:val="none"/>
        </w:rPr>
        <w:t>Eligibility:</w:t>
      </w:r>
      <w:r w:rsidR="00797C94" w:rsidRPr="00D1675B">
        <w:rPr>
          <w:rStyle w:val="Hyperlink"/>
          <w:b/>
          <w:color w:val="auto"/>
          <w:u w:val="none"/>
        </w:rPr>
        <w:t xml:space="preserve"> </w:t>
      </w:r>
      <w:r w:rsidR="00797C94" w:rsidRPr="00625104">
        <w:rPr>
          <w:rStyle w:val="Hyperlink"/>
          <w:color w:val="auto"/>
          <w:u w:val="none"/>
        </w:rPr>
        <w:t>UK/EU/Inter</w:t>
      </w:r>
      <w:r w:rsidR="00B90549" w:rsidRPr="00625104">
        <w:rPr>
          <w:rStyle w:val="Hyperlink"/>
          <w:color w:val="auto"/>
          <w:u w:val="none"/>
        </w:rPr>
        <w:t>n</w:t>
      </w:r>
      <w:r w:rsidR="00797C94" w:rsidRPr="00625104">
        <w:rPr>
          <w:rStyle w:val="Hyperlink"/>
          <w:color w:val="auto"/>
          <w:u w:val="none"/>
        </w:rPr>
        <w:t>ational</w:t>
      </w:r>
    </w:p>
    <w:p w14:paraId="07E6DFD6" w14:textId="77777777" w:rsidR="00625104" w:rsidRDefault="00B90549" w:rsidP="00B90549">
      <w:r w:rsidRPr="00D1675B">
        <w:rPr>
          <w:b/>
        </w:rPr>
        <w:t>Department</w:t>
      </w:r>
      <w:r>
        <w:rPr>
          <w:b/>
        </w:rPr>
        <w:t>/</w:t>
      </w:r>
      <w:r w:rsidRPr="00625104">
        <w:rPr>
          <w:b/>
        </w:rPr>
        <w:t>School:</w:t>
      </w:r>
      <w:r w:rsidRPr="00625104">
        <w:t xml:space="preserve">  </w:t>
      </w:r>
      <w:r w:rsidR="001A22DD" w:rsidRPr="00625104">
        <w:t xml:space="preserve">SGGE </w:t>
      </w:r>
    </w:p>
    <w:p w14:paraId="73B184D0" w14:textId="06166B32" w:rsidR="00342954" w:rsidRPr="00342954" w:rsidRDefault="00B90549" w:rsidP="00342954">
      <w:pPr>
        <w:rPr>
          <w:bCs/>
        </w:rPr>
      </w:pPr>
      <w:r w:rsidRPr="00D1675B">
        <w:rPr>
          <w:b/>
        </w:rPr>
        <w:t>Supervisors:</w:t>
      </w:r>
      <w:r w:rsidRPr="00D1675B">
        <w:tab/>
      </w:r>
      <w:r w:rsidR="00342954" w:rsidRPr="00342954">
        <w:rPr>
          <w:bCs/>
        </w:rPr>
        <w:t>PI: Dr Marc Reichow University of Leicester (</w:t>
      </w:r>
      <w:hyperlink r:id="rId6" w:history="1">
        <w:r w:rsidR="00C87605" w:rsidRPr="00F02F7A">
          <w:rPr>
            <w:rStyle w:val="Hyperlink"/>
            <w:bCs/>
          </w:rPr>
          <w:t>mkr6@le.ac.uk</w:t>
        </w:r>
      </w:hyperlink>
      <w:r w:rsidR="00C87605">
        <w:rPr>
          <w:bCs/>
        </w:rPr>
        <w:t xml:space="preserve"> </w:t>
      </w:r>
      <w:r w:rsidR="00342954" w:rsidRPr="00342954">
        <w:rPr>
          <w:bCs/>
        </w:rPr>
        <w:t>)</w:t>
      </w:r>
    </w:p>
    <w:p w14:paraId="7C410A2F" w14:textId="140F26AC" w:rsidR="00342954" w:rsidRPr="00342954" w:rsidRDefault="00342954" w:rsidP="00342954">
      <w:pPr>
        <w:ind w:left="720" w:firstLine="720"/>
        <w:rPr>
          <w:bCs/>
        </w:rPr>
      </w:pPr>
      <w:r w:rsidRPr="00342954">
        <w:rPr>
          <w:bCs/>
        </w:rPr>
        <w:t>Co-I: Dr Andrew Miles University of Leicester (</w:t>
      </w:r>
      <w:hyperlink r:id="rId7" w:history="1">
        <w:r w:rsidR="00C87605" w:rsidRPr="00F02F7A">
          <w:rPr>
            <w:rStyle w:val="Hyperlink"/>
            <w:bCs/>
          </w:rPr>
          <w:t>ajm131@le.ac.uk</w:t>
        </w:r>
      </w:hyperlink>
      <w:r w:rsidR="00C87605">
        <w:rPr>
          <w:bCs/>
        </w:rPr>
        <w:t xml:space="preserve"> </w:t>
      </w:r>
      <w:r w:rsidRPr="00342954">
        <w:rPr>
          <w:bCs/>
        </w:rPr>
        <w:t>)</w:t>
      </w:r>
    </w:p>
    <w:p w14:paraId="3ACEF38A" w14:textId="31F8C9AC" w:rsidR="00B90549" w:rsidRPr="00342954" w:rsidRDefault="00342954" w:rsidP="00342954">
      <w:pPr>
        <w:pStyle w:val="NoSpacing"/>
        <w:ind w:left="720" w:firstLine="720"/>
        <w:rPr>
          <w:bCs/>
        </w:rPr>
      </w:pPr>
      <w:r w:rsidRPr="00342954">
        <w:rPr>
          <w:bCs/>
        </w:rPr>
        <w:t>Co-I: Dr Nick Varley, Universidad de Colima, Mexico (</w:t>
      </w:r>
      <w:hyperlink r:id="rId8" w:history="1">
        <w:r w:rsidR="00C87605" w:rsidRPr="00F02F7A">
          <w:rPr>
            <w:rStyle w:val="Hyperlink"/>
            <w:bCs/>
          </w:rPr>
          <w:t>nick@ucol.mx</w:t>
        </w:r>
      </w:hyperlink>
      <w:r w:rsidR="00C87605">
        <w:rPr>
          <w:bCs/>
        </w:rPr>
        <w:t xml:space="preserve"> </w:t>
      </w:r>
      <w:r w:rsidRPr="00342954">
        <w:rPr>
          <w:bCs/>
        </w:rPr>
        <w:t>)</w:t>
      </w:r>
    </w:p>
    <w:p w14:paraId="3061DB09" w14:textId="77777777" w:rsidR="00625104" w:rsidRPr="00D1675B" w:rsidRDefault="00625104" w:rsidP="00625104">
      <w:pPr>
        <w:pStyle w:val="NoSpacing"/>
      </w:pPr>
    </w:p>
    <w:p w14:paraId="351CC34F" w14:textId="1CF71082" w:rsidR="00186CBA" w:rsidRPr="00D1675B" w:rsidRDefault="00186CBA" w:rsidP="00DC7AB5">
      <w:pPr>
        <w:pStyle w:val="NoSpacing"/>
        <w:rPr>
          <w:b/>
        </w:rPr>
      </w:pPr>
      <w:r w:rsidRPr="00D1675B">
        <w:rPr>
          <w:b/>
        </w:rPr>
        <w:t>Project</w:t>
      </w:r>
      <w:r w:rsidR="00BB2974" w:rsidRPr="00D1675B">
        <w:rPr>
          <w:b/>
        </w:rPr>
        <w:t xml:space="preserve"> Title</w:t>
      </w:r>
      <w:r w:rsidRPr="00D1675B">
        <w:rPr>
          <w:b/>
        </w:rPr>
        <w:t xml:space="preserve">: </w:t>
      </w:r>
      <w:r w:rsidRPr="00D1675B">
        <w:rPr>
          <w:b/>
        </w:rPr>
        <w:tab/>
      </w:r>
      <w:r w:rsidR="00342954">
        <w:t xml:space="preserve">Evaluation of crustal recycling and magma formation by subduction in the Trans Mexican Volcanic Belt: New insights from the </w:t>
      </w:r>
      <w:proofErr w:type="spellStart"/>
      <w:r w:rsidR="00342954">
        <w:t>Ceboruco</w:t>
      </w:r>
      <w:proofErr w:type="spellEnd"/>
      <w:r w:rsidR="00342954">
        <w:t xml:space="preserve"> volcano, Mexico</w:t>
      </w:r>
    </w:p>
    <w:p w14:paraId="2B7D7BC7" w14:textId="77777777" w:rsidR="00186CBA" w:rsidRPr="00D1675B" w:rsidRDefault="00186CBA" w:rsidP="00186CBA">
      <w:pPr>
        <w:ind w:left="1440" w:hanging="1440"/>
        <w:rPr>
          <w:bCs/>
        </w:rPr>
      </w:pPr>
    </w:p>
    <w:p w14:paraId="08023F1D" w14:textId="66BCDEB1" w:rsidR="00186CBA" w:rsidRPr="00D1675B" w:rsidRDefault="00186CBA" w:rsidP="00186CBA">
      <w:pPr>
        <w:ind w:left="1440" w:hanging="1440"/>
        <w:rPr>
          <w:b/>
          <w:bCs/>
        </w:rPr>
      </w:pPr>
      <w:r w:rsidRPr="00D1675B">
        <w:rPr>
          <w:b/>
          <w:bCs/>
        </w:rPr>
        <w:t>Project Description</w:t>
      </w:r>
      <w:r w:rsidR="00B90549">
        <w:rPr>
          <w:b/>
          <w:bCs/>
        </w:rPr>
        <w:t xml:space="preserve"> </w:t>
      </w:r>
      <w:r w:rsidRPr="00D1675B">
        <w:rPr>
          <w:b/>
          <w:bCs/>
        </w:rPr>
        <w:t>:</w:t>
      </w:r>
    </w:p>
    <w:p w14:paraId="1712E890" w14:textId="77777777" w:rsidR="00342954" w:rsidRDefault="00342954" w:rsidP="00342954">
      <w:pPr>
        <w:rPr>
          <w:b/>
        </w:rPr>
      </w:pPr>
      <w:r>
        <w:rPr>
          <w:b/>
        </w:rPr>
        <w:t xml:space="preserve">Project Highlights: </w:t>
      </w:r>
    </w:p>
    <w:p w14:paraId="4B709AA7" w14:textId="77777777" w:rsidR="00342954" w:rsidRDefault="00342954" w:rsidP="00342954">
      <w:pPr>
        <w:pStyle w:val="ListParagraph"/>
        <w:numPr>
          <w:ilvl w:val="0"/>
          <w:numId w:val="10"/>
        </w:numPr>
        <w:spacing w:line="256" w:lineRule="auto"/>
        <w:rPr>
          <w:color w:val="000000" w:themeColor="text1"/>
        </w:rPr>
      </w:pPr>
      <w:r>
        <w:rPr>
          <w:color w:val="000000" w:themeColor="text1"/>
        </w:rPr>
        <w:t>Gain an in-depth understanding of the magma plumbing system at an active volcano</w:t>
      </w:r>
    </w:p>
    <w:p w14:paraId="39E9D74E" w14:textId="77777777" w:rsidR="00342954" w:rsidRDefault="00342954" w:rsidP="00342954">
      <w:pPr>
        <w:pStyle w:val="ListParagraph"/>
        <w:numPr>
          <w:ilvl w:val="0"/>
          <w:numId w:val="10"/>
        </w:numPr>
        <w:spacing w:line="256" w:lineRule="auto"/>
      </w:pPr>
      <w:r>
        <w:t>Contribute to the understanding of the principle controls on magma evolution and enrichment at subduction zones</w:t>
      </w:r>
    </w:p>
    <w:p w14:paraId="5AF58E9F" w14:textId="77777777" w:rsidR="00342954" w:rsidRDefault="00342954" w:rsidP="00342954">
      <w:pPr>
        <w:pStyle w:val="ListParagraph"/>
        <w:numPr>
          <w:ilvl w:val="0"/>
          <w:numId w:val="10"/>
        </w:numPr>
        <w:spacing w:line="256" w:lineRule="auto"/>
      </w:pPr>
      <w:r>
        <w:t>Develop expertise in a variety of field and laboratory techniques pertinent to volcanology</w:t>
      </w:r>
    </w:p>
    <w:p w14:paraId="196D47F3" w14:textId="77777777" w:rsidR="00342954" w:rsidRDefault="00342954" w:rsidP="00342954">
      <w:r>
        <w:rPr>
          <w:b/>
        </w:rPr>
        <w:t>Overview (including 1 high quality image or figure):</w:t>
      </w:r>
    </w:p>
    <w:p w14:paraId="106DF51F" w14:textId="77777777" w:rsidR="00342954" w:rsidRDefault="00342954" w:rsidP="00342954">
      <w:pPr>
        <w:jc w:val="both"/>
      </w:pPr>
      <w:r>
        <w:t>The Trans-Mexican Volcanic Belt (TMVB) is one of the most compositionally diverse magmatic arcs on Earth and therefore constitutes a prime location for testing emerging hypotheses on arc petrogenesis and continental evolution (Gómez-</w:t>
      </w:r>
      <w:proofErr w:type="spellStart"/>
      <w:r>
        <w:t>Tuena</w:t>
      </w:r>
      <w:proofErr w:type="spellEnd"/>
      <w:r>
        <w:t xml:space="preserve"> et al., 2018). Recycling of upper plate crust in subduction zones, or ‘subduction erosion’, is a major mechanism of crustal destruction at convergent margins. Assessing the impact of eroded crust on arc magmas is, however, difficult owing to the compositional similarity between the eroded crust, trench sediment and arc crustal basement that may all contribute to arc magma formation (Ferrari et al., 2011; Straub et al., 2015). </w:t>
      </w:r>
      <w:proofErr w:type="spellStart"/>
      <w:r>
        <w:t>Ceboruco</w:t>
      </w:r>
      <w:proofErr w:type="spellEnd"/>
      <w:r>
        <w:t xml:space="preserve"> volcano is one of a few active volcanoes in the western part of the TMVB and is compositionally diverse ranging from mafic to rhyolite magmas (Nelson, 1980; Nunez et al., 2022). It is known that </w:t>
      </w:r>
      <w:proofErr w:type="spellStart"/>
      <w:r>
        <w:t>Ceboruco</w:t>
      </w:r>
      <w:proofErr w:type="spellEnd"/>
      <w:r>
        <w:t xml:space="preserve"> produced three compositionally and volumetrically different magma types including two caldera-forming explosive eruptions. However, it remains unclear how these different magmas formed, what controls their composition including distinctively high-Nb magmas enriched in LILE and HFSE resembling those of enriched intraplate magmas. Volatile bearing minerals, common to other volcanoes within the TMVB, are rare at </w:t>
      </w:r>
      <w:proofErr w:type="spellStart"/>
      <w:r>
        <w:t>Ceboruco</w:t>
      </w:r>
      <w:proofErr w:type="spellEnd"/>
      <w:r>
        <w:t xml:space="preserve"> raising the question whether metasomatism can be held responsible for this enrichment?  </w:t>
      </w:r>
    </w:p>
    <w:p w14:paraId="65615072" w14:textId="77777777" w:rsidR="00342954" w:rsidRDefault="00342954" w:rsidP="00342954">
      <w:pPr>
        <w:jc w:val="both"/>
      </w:pPr>
      <w:r>
        <w:rPr>
          <w:color w:val="000000" w:themeColor="text1"/>
        </w:rPr>
        <w:t>This project will focus on a field-based analysis of the volcano and geochemical and petrographic study of samples collected from various domes and lavas in order to gain a better understanding leading to the formation of a range of volcanic products.</w:t>
      </w:r>
      <w:r>
        <w:rPr>
          <w:rFonts w:ascii="Calibri" w:eastAsia="Calibri" w:hAnsi="Calibri" w:cs="Times New Roman"/>
          <w:color w:val="000000" w:themeColor="text1"/>
          <w:sz w:val="24"/>
          <w:szCs w:val="24"/>
        </w:rPr>
        <w:t xml:space="preserve"> </w:t>
      </w:r>
      <w:r>
        <w:rPr>
          <w:color w:val="000000" w:themeColor="text1"/>
        </w:rPr>
        <w:t xml:space="preserve">The aim is to create a schematic model of the </w:t>
      </w:r>
      <w:proofErr w:type="spellStart"/>
      <w:r>
        <w:rPr>
          <w:color w:val="000000" w:themeColor="text1"/>
        </w:rPr>
        <w:t>Ceboruco</w:t>
      </w:r>
      <w:proofErr w:type="spellEnd"/>
      <w:r>
        <w:rPr>
          <w:color w:val="000000" w:themeColor="text1"/>
        </w:rPr>
        <w:t xml:space="preserve"> magma system and to see whether the basaltic to rhyolitic magmas originated from the same reservoir or whether complex processes involving partial melting of different source regions, fractional </w:t>
      </w:r>
      <w:r>
        <w:rPr>
          <w:color w:val="000000" w:themeColor="text1"/>
        </w:rPr>
        <w:lastRenderedPageBreak/>
        <w:t xml:space="preserve">crystallisation and magma mixing and/or crustal erosion was responsible for the diverse magmatism at </w:t>
      </w:r>
      <w:proofErr w:type="spellStart"/>
      <w:r>
        <w:rPr>
          <w:color w:val="000000" w:themeColor="text1"/>
        </w:rPr>
        <w:t>Ceboruco</w:t>
      </w:r>
      <w:proofErr w:type="spellEnd"/>
      <w:r>
        <w:rPr>
          <w:color w:val="000000" w:themeColor="text1"/>
        </w:rPr>
        <w:t xml:space="preserve">. In order to achieve this, whole rock and in-situ analyses of the mineral budget will be applied and compared to data from other subduction zone volcanoes to outline a potential magmatic system for </w:t>
      </w:r>
      <w:proofErr w:type="spellStart"/>
      <w:r>
        <w:rPr>
          <w:color w:val="000000" w:themeColor="text1"/>
        </w:rPr>
        <w:t>Ceboruco</w:t>
      </w:r>
      <w:proofErr w:type="spellEnd"/>
      <w:r>
        <w:rPr>
          <w:color w:val="000000" w:themeColor="text1"/>
        </w:rPr>
        <w:t xml:space="preserve">. This combination provides a unique opportunity to track the eruption history of subduction-related volcanism and magma enrichment processes. </w:t>
      </w:r>
    </w:p>
    <w:p w14:paraId="6158095E" w14:textId="1E07FA6B" w:rsidR="00342954" w:rsidRDefault="00342954" w:rsidP="00342954">
      <w:pPr>
        <w:jc w:val="center"/>
      </w:pPr>
      <w:r>
        <w:rPr>
          <w:noProof/>
        </w:rPr>
        <w:drawing>
          <wp:anchor distT="0" distB="0" distL="114300" distR="114300" simplePos="0" relativeHeight="251658240" behindDoc="0" locked="0" layoutInCell="1" allowOverlap="1" wp14:anchorId="67D5FB34" wp14:editId="76866CC7">
            <wp:simplePos x="0" y="0"/>
            <wp:positionH relativeFrom="column">
              <wp:posOffset>923925</wp:posOffset>
            </wp:positionH>
            <wp:positionV relativeFrom="paragraph">
              <wp:posOffset>19050</wp:posOffset>
            </wp:positionV>
            <wp:extent cx="3893185" cy="2560955"/>
            <wp:effectExtent l="19050" t="19050" r="12065" b="10795"/>
            <wp:wrapTopAndBottom/>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map&#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3185" cy="256095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096C40D4" w14:textId="77777777" w:rsidR="00342954" w:rsidRDefault="00342954" w:rsidP="00342954">
      <w:pPr>
        <w:ind w:left="567" w:hanging="567"/>
        <w:rPr>
          <w:i/>
          <w:sz w:val="20"/>
          <w:szCs w:val="20"/>
        </w:rPr>
      </w:pPr>
      <w:r>
        <w:rPr>
          <w:i/>
          <w:sz w:val="20"/>
          <w:szCs w:val="20"/>
        </w:rPr>
        <w:t xml:space="preserve">Figure 1: </w:t>
      </w:r>
      <w:r>
        <w:rPr>
          <w:i/>
          <w:iCs/>
          <w:sz w:val="20"/>
          <w:szCs w:val="20"/>
        </w:rPr>
        <w:t xml:space="preserve">Simplified tectonic map of the north-eastward converging subduction zone showing the location of the Trans Mexican Volcanic Belt (TMVB) which is broadly divided into western, central and eastern regions. The location of several compositionally diverse volcanic centres, including </w:t>
      </w:r>
      <w:proofErr w:type="spellStart"/>
      <w:r>
        <w:rPr>
          <w:i/>
          <w:iCs/>
          <w:sz w:val="20"/>
          <w:szCs w:val="20"/>
        </w:rPr>
        <w:t>Ceboruco</w:t>
      </w:r>
      <w:proofErr w:type="spellEnd"/>
      <w:r>
        <w:rPr>
          <w:i/>
          <w:iCs/>
          <w:sz w:val="20"/>
          <w:szCs w:val="20"/>
        </w:rPr>
        <w:t>, are indicated (after Frey et al., 2004; Gomez-</w:t>
      </w:r>
      <w:proofErr w:type="spellStart"/>
      <w:r>
        <w:rPr>
          <w:i/>
          <w:iCs/>
          <w:sz w:val="20"/>
          <w:szCs w:val="20"/>
        </w:rPr>
        <w:t>Tuena</w:t>
      </w:r>
      <w:proofErr w:type="spellEnd"/>
      <w:r>
        <w:rPr>
          <w:i/>
          <w:iCs/>
          <w:sz w:val="20"/>
          <w:szCs w:val="20"/>
        </w:rPr>
        <w:t xml:space="preserve"> et al., 2018).</w:t>
      </w:r>
    </w:p>
    <w:p w14:paraId="28214B3F" w14:textId="77777777" w:rsidR="00342954" w:rsidRDefault="00342954" w:rsidP="00342954">
      <w:pPr>
        <w:rPr>
          <w:b/>
        </w:rPr>
      </w:pPr>
      <w:r>
        <w:rPr>
          <w:b/>
        </w:rPr>
        <w:t xml:space="preserve">Methodology: </w:t>
      </w:r>
    </w:p>
    <w:p w14:paraId="20506C95" w14:textId="77777777" w:rsidR="00342954" w:rsidRDefault="00342954" w:rsidP="00342954">
      <w:pPr>
        <w:jc w:val="both"/>
      </w:pPr>
      <w:r>
        <w:t xml:space="preserve">Samples will be collected from </w:t>
      </w:r>
      <w:proofErr w:type="spellStart"/>
      <w:r>
        <w:t>Ceboruco</w:t>
      </w:r>
      <w:proofErr w:type="spellEnd"/>
      <w:r>
        <w:t xml:space="preserve">, Mexico during a planned field season providing representative sets of samples recovered from eleven distinct volcanic episodes supplementing an existing collection gathered by the Co-PI and analysed by the PI at Leicester.  Quantitative whole rock compositional characterisation will be carried out at the University of Leicester using X-ray fluorescence spectrometry (XRF) and inductive coupled plasma mass spectrometry (ICP-MS), whilst mineral compositions will be determined through scanning electron microscope (SEM) coupled with Zeiss’ </w:t>
      </w:r>
      <w:proofErr w:type="spellStart"/>
      <w:r>
        <w:t>Minerlogic</w:t>
      </w:r>
      <w:proofErr w:type="spellEnd"/>
      <w:r>
        <w:t xml:space="preserve"> software, laser ablation mass spectrometry and supplemented by major elements determined by electron microprobe. Textural relationships will be analysed from thin section.  A range of radiogenic isotope characterisation (Lu-Hf, U-Pb, Rb-Sr, </w:t>
      </w:r>
      <w:proofErr w:type="spellStart"/>
      <w:r>
        <w:t>Sm</w:t>
      </w:r>
      <w:proofErr w:type="spellEnd"/>
      <w:r>
        <w:t xml:space="preserve">-Nd) will be carried out by ICP-MS at the NERC isotope facility, </w:t>
      </w:r>
      <w:proofErr w:type="spellStart"/>
      <w:r>
        <w:t>Keyworth</w:t>
      </w:r>
      <w:proofErr w:type="spellEnd"/>
      <w:r>
        <w:t xml:space="preserve"> following a grant application to the National Environmental Isotope Facility (NEIF).</w:t>
      </w:r>
    </w:p>
    <w:p w14:paraId="0093BFEC" w14:textId="18B82FA2" w:rsidR="00B24449" w:rsidRDefault="00B24449" w:rsidP="00DC7AB5">
      <w:pPr>
        <w:pStyle w:val="NoSpacing"/>
        <w:rPr>
          <w:b/>
        </w:rPr>
      </w:pPr>
    </w:p>
    <w:p w14:paraId="6D0816B1" w14:textId="6A5B7105" w:rsidR="00342954" w:rsidRDefault="00342954" w:rsidP="00DC7AB5">
      <w:pPr>
        <w:pStyle w:val="NoSpacing"/>
        <w:rPr>
          <w:b/>
        </w:rPr>
      </w:pPr>
    </w:p>
    <w:p w14:paraId="510BBC3C" w14:textId="4A412775" w:rsidR="00342954" w:rsidRDefault="00342954" w:rsidP="00DC7AB5">
      <w:pPr>
        <w:pStyle w:val="NoSpacing"/>
        <w:rPr>
          <w:b/>
        </w:rPr>
      </w:pPr>
    </w:p>
    <w:p w14:paraId="40938F4B" w14:textId="77777777" w:rsidR="00342954" w:rsidRDefault="00342954" w:rsidP="00DC7AB5">
      <w:pPr>
        <w:pStyle w:val="NoSpacing"/>
        <w:rPr>
          <w:b/>
        </w:rPr>
      </w:pPr>
    </w:p>
    <w:p w14:paraId="3F368452" w14:textId="77777777" w:rsidR="00625104" w:rsidRPr="00D1675B" w:rsidRDefault="00625104" w:rsidP="00DC7AB5">
      <w:pPr>
        <w:pStyle w:val="NoSpacing"/>
        <w:rPr>
          <w:bCs/>
        </w:rPr>
      </w:pPr>
    </w:p>
    <w:p w14:paraId="297F117D" w14:textId="77777777" w:rsidR="00B24449" w:rsidRPr="00D1675B" w:rsidRDefault="00B24449" w:rsidP="00DC7AB5">
      <w:pPr>
        <w:pStyle w:val="NoSpacing"/>
        <w:rPr>
          <w:b/>
          <w:bCs/>
        </w:rPr>
      </w:pPr>
      <w:r w:rsidRPr="00D1675B">
        <w:rPr>
          <w:b/>
          <w:bCs/>
        </w:rPr>
        <w:t xml:space="preserve">References: </w:t>
      </w:r>
    </w:p>
    <w:p w14:paraId="35EA3406" w14:textId="77777777" w:rsidR="00342954" w:rsidRDefault="00342954" w:rsidP="00342954">
      <w:pPr>
        <w:ind w:left="567" w:hanging="567"/>
        <w:rPr>
          <w:color w:val="000000" w:themeColor="text1"/>
        </w:rPr>
      </w:pPr>
      <w:r>
        <w:rPr>
          <w:color w:val="000000" w:themeColor="text1"/>
        </w:rPr>
        <w:t xml:space="preserve">Ferrari, L., Orozco-Esquivel, T., </w:t>
      </w:r>
      <w:proofErr w:type="spellStart"/>
      <w:r>
        <w:rPr>
          <w:color w:val="000000" w:themeColor="text1"/>
        </w:rPr>
        <w:t>Manea</w:t>
      </w:r>
      <w:proofErr w:type="spellEnd"/>
      <w:r>
        <w:rPr>
          <w:color w:val="000000" w:themeColor="text1"/>
        </w:rPr>
        <w:t xml:space="preserve">, V., and </w:t>
      </w:r>
      <w:proofErr w:type="spellStart"/>
      <w:r>
        <w:rPr>
          <w:color w:val="000000" w:themeColor="text1"/>
        </w:rPr>
        <w:t>Manea</w:t>
      </w:r>
      <w:proofErr w:type="spellEnd"/>
      <w:r>
        <w:rPr>
          <w:color w:val="000000" w:themeColor="text1"/>
        </w:rPr>
        <w:t xml:space="preserve">, M. (2011) ‘The dynamic history of the Trans-Mexican Volcanic Belt and the Mexico subduction zone’, Tectonophysics, 522-523, pp. 122–149, </w:t>
      </w:r>
      <w:proofErr w:type="spellStart"/>
      <w:r>
        <w:rPr>
          <w:color w:val="000000" w:themeColor="text1"/>
        </w:rPr>
        <w:t>doi</w:t>
      </w:r>
      <w:proofErr w:type="spellEnd"/>
      <w:r>
        <w:rPr>
          <w:color w:val="000000" w:themeColor="text1"/>
        </w:rPr>
        <w:t>: 10.1016/j.tecto.2011.09.018</w:t>
      </w:r>
    </w:p>
    <w:p w14:paraId="74DA9C86" w14:textId="77777777" w:rsidR="00342954" w:rsidRDefault="00342954" w:rsidP="00342954">
      <w:pPr>
        <w:ind w:left="567" w:hanging="567"/>
        <w:rPr>
          <w:color w:val="000000" w:themeColor="text1"/>
        </w:rPr>
      </w:pPr>
      <w:r>
        <w:rPr>
          <w:iCs/>
          <w:color w:val="000000" w:themeColor="text1"/>
        </w:rPr>
        <w:lastRenderedPageBreak/>
        <w:t xml:space="preserve">Frey, H.M., Lange, R.A., Hall, C.M., and Delgado-Granados, H. (2004) ‘Magma eruption rates constrained by 40Ar/39Ar chronology and GIS for the </w:t>
      </w:r>
      <w:proofErr w:type="spellStart"/>
      <w:r>
        <w:rPr>
          <w:iCs/>
          <w:color w:val="000000" w:themeColor="text1"/>
        </w:rPr>
        <w:t>Ceboruco</w:t>
      </w:r>
      <w:proofErr w:type="spellEnd"/>
      <w:r>
        <w:rPr>
          <w:iCs/>
          <w:color w:val="000000" w:themeColor="text1"/>
        </w:rPr>
        <w:t>–San Pedro volcanic field, western Mexico’, Geological Society of America Bulletin, 116, pp. 259, doi:10.1130/b25321.1.</w:t>
      </w:r>
    </w:p>
    <w:p w14:paraId="01B3B26D" w14:textId="77777777" w:rsidR="00342954" w:rsidRDefault="00342954" w:rsidP="00342954">
      <w:pPr>
        <w:ind w:left="567" w:hanging="567"/>
        <w:rPr>
          <w:iCs/>
          <w:color w:val="000000" w:themeColor="text1"/>
        </w:rPr>
      </w:pPr>
      <w:r>
        <w:rPr>
          <w:iCs/>
          <w:color w:val="000000" w:themeColor="text1"/>
        </w:rPr>
        <w:t>Gómez-</w:t>
      </w:r>
      <w:proofErr w:type="spellStart"/>
      <w:r>
        <w:rPr>
          <w:iCs/>
          <w:color w:val="000000" w:themeColor="text1"/>
        </w:rPr>
        <w:t>Tuena</w:t>
      </w:r>
      <w:proofErr w:type="spellEnd"/>
      <w:r>
        <w:rPr>
          <w:iCs/>
          <w:color w:val="000000" w:themeColor="text1"/>
        </w:rPr>
        <w:t xml:space="preserve">, A., Mori, L., and Straub, S.M. (2018) ‘Geochemical and petrological insights into the tectonic origin of the Trans Mexican Volcanic Belt’, Earth-Science Reviews, 183, pp. 153–181, </w:t>
      </w:r>
      <w:proofErr w:type="spellStart"/>
      <w:r>
        <w:rPr>
          <w:iCs/>
          <w:color w:val="000000" w:themeColor="text1"/>
        </w:rPr>
        <w:t>doi</w:t>
      </w:r>
      <w:proofErr w:type="spellEnd"/>
      <w:r>
        <w:rPr>
          <w:iCs/>
          <w:color w:val="000000" w:themeColor="text1"/>
        </w:rPr>
        <w:t>: 10.1016/j.earscirev.2016.12.006.</w:t>
      </w:r>
    </w:p>
    <w:p w14:paraId="65D0A8E2" w14:textId="77777777" w:rsidR="00342954" w:rsidRDefault="00342954" w:rsidP="00342954">
      <w:pPr>
        <w:ind w:left="567" w:hanging="567"/>
      </w:pPr>
      <w:r>
        <w:rPr>
          <w:iCs/>
          <w:color w:val="000000" w:themeColor="text1"/>
        </w:rPr>
        <w:t xml:space="preserve">Nelson, S.A. (1980) ‘Geology and Petrology of </w:t>
      </w:r>
      <w:proofErr w:type="spellStart"/>
      <w:r>
        <w:rPr>
          <w:iCs/>
          <w:color w:val="000000" w:themeColor="text1"/>
        </w:rPr>
        <w:t>Volcán</w:t>
      </w:r>
      <w:proofErr w:type="spellEnd"/>
      <w:r>
        <w:rPr>
          <w:iCs/>
          <w:color w:val="000000" w:themeColor="text1"/>
        </w:rPr>
        <w:t xml:space="preserve"> </w:t>
      </w:r>
      <w:proofErr w:type="spellStart"/>
      <w:r>
        <w:rPr>
          <w:iCs/>
          <w:color w:val="000000" w:themeColor="text1"/>
        </w:rPr>
        <w:t>Ceboruco</w:t>
      </w:r>
      <w:proofErr w:type="spellEnd"/>
      <w:r>
        <w:rPr>
          <w:iCs/>
          <w:color w:val="000000" w:themeColor="text1"/>
        </w:rPr>
        <w:t>, Nayarit, Mexico’, Geological Society of America Bulletin, 91, pp. 2290–2431</w:t>
      </w:r>
      <w:r>
        <w:t xml:space="preserve"> </w:t>
      </w:r>
    </w:p>
    <w:p w14:paraId="10EBC32B" w14:textId="77777777" w:rsidR="00342954" w:rsidRDefault="00342954" w:rsidP="00342954">
      <w:pPr>
        <w:ind w:left="567" w:hanging="567"/>
        <w:rPr>
          <w:color w:val="000000" w:themeColor="text1"/>
        </w:rPr>
      </w:pPr>
      <w:proofErr w:type="spellStart"/>
      <w:r>
        <w:rPr>
          <w:color w:val="000000" w:themeColor="text1"/>
        </w:rPr>
        <w:t>Núñez</w:t>
      </w:r>
      <w:proofErr w:type="spellEnd"/>
      <w:r>
        <w:rPr>
          <w:color w:val="000000" w:themeColor="text1"/>
        </w:rPr>
        <w:t xml:space="preserve">, D., </w:t>
      </w:r>
      <w:proofErr w:type="spellStart"/>
      <w:r>
        <w:rPr>
          <w:color w:val="000000" w:themeColor="text1"/>
        </w:rPr>
        <w:t>Núñez-Cornúa</w:t>
      </w:r>
      <w:proofErr w:type="spellEnd"/>
      <w:r>
        <w:rPr>
          <w:color w:val="000000" w:themeColor="text1"/>
        </w:rPr>
        <w:t xml:space="preserve">, F.J., Rowe, C.A. (2022) ‘Recent seismicity at </w:t>
      </w:r>
      <w:proofErr w:type="spellStart"/>
      <w:r>
        <w:rPr>
          <w:color w:val="000000" w:themeColor="text1"/>
        </w:rPr>
        <w:t>Ceboruco</w:t>
      </w:r>
      <w:proofErr w:type="spellEnd"/>
      <w:r>
        <w:rPr>
          <w:color w:val="000000" w:themeColor="text1"/>
        </w:rPr>
        <w:t xml:space="preserve"> Volcano (Mexico)’, Journal of Volcanology and Geothermal Research, </w:t>
      </w:r>
      <w:r>
        <w:rPr>
          <w:bCs/>
          <w:color w:val="000000" w:themeColor="text1"/>
        </w:rPr>
        <w:t>421</w:t>
      </w:r>
      <w:r>
        <w:rPr>
          <w:color w:val="000000" w:themeColor="text1"/>
        </w:rPr>
        <w:t>.</w:t>
      </w:r>
    </w:p>
    <w:p w14:paraId="3FAB03AA" w14:textId="77777777" w:rsidR="00342954" w:rsidRDefault="00342954" w:rsidP="00342954">
      <w:pPr>
        <w:ind w:left="567" w:hanging="567"/>
        <w:rPr>
          <w:iCs/>
          <w:color w:val="000000" w:themeColor="text1"/>
        </w:rPr>
      </w:pPr>
      <w:r>
        <w:rPr>
          <w:iCs/>
          <w:color w:val="000000" w:themeColor="text1"/>
        </w:rPr>
        <w:t>Straub, S.M., Gómez-</w:t>
      </w:r>
      <w:proofErr w:type="spellStart"/>
      <w:r>
        <w:rPr>
          <w:iCs/>
          <w:color w:val="000000" w:themeColor="text1"/>
        </w:rPr>
        <w:t>Tuena</w:t>
      </w:r>
      <w:proofErr w:type="spellEnd"/>
      <w:r>
        <w:rPr>
          <w:iCs/>
          <w:color w:val="000000" w:themeColor="text1"/>
        </w:rPr>
        <w:t xml:space="preserve">, A., </w:t>
      </w:r>
      <w:proofErr w:type="spellStart"/>
      <w:r>
        <w:rPr>
          <w:iCs/>
          <w:color w:val="000000" w:themeColor="text1"/>
        </w:rPr>
        <w:t>Bindeman</w:t>
      </w:r>
      <w:proofErr w:type="spellEnd"/>
      <w:r>
        <w:rPr>
          <w:iCs/>
          <w:color w:val="000000" w:themeColor="text1"/>
        </w:rPr>
        <w:t xml:space="preserve">, I.N., </w:t>
      </w:r>
      <w:proofErr w:type="spellStart"/>
      <w:r>
        <w:rPr>
          <w:iCs/>
          <w:color w:val="000000" w:themeColor="text1"/>
        </w:rPr>
        <w:t>Bolge</w:t>
      </w:r>
      <w:proofErr w:type="spellEnd"/>
      <w:r>
        <w:rPr>
          <w:iCs/>
          <w:color w:val="000000" w:themeColor="text1"/>
        </w:rPr>
        <w:t xml:space="preserve">, L.L., </w:t>
      </w:r>
      <w:proofErr w:type="spellStart"/>
      <w:r>
        <w:rPr>
          <w:iCs/>
          <w:color w:val="000000" w:themeColor="text1"/>
        </w:rPr>
        <w:t>Brandl</w:t>
      </w:r>
      <w:proofErr w:type="spellEnd"/>
      <w:r>
        <w:rPr>
          <w:iCs/>
          <w:color w:val="000000" w:themeColor="text1"/>
        </w:rPr>
        <w:t xml:space="preserve">, P.A., </w:t>
      </w:r>
      <w:proofErr w:type="spellStart"/>
      <w:r>
        <w:rPr>
          <w:iCs/>
          <w:color w:val="000000" w:themeColor="text1"/>
        </w:rPr>
        <w:t>Espinasa-Perena</w:t>
      </w:r>
      <w:proofErr w:type="spellEnd"/>
      <w:r>
        <w:rPr>
          <w:iCs/>
          <w:color w:val="000000" w:themeColor="text1"/>
        </w:rPr>
        <w:t xml:space="preserve">, R., </w:t>
      </w:r>
      <w:proofErr w:type="spellStart"/>
      <w:r>
        <w:rPr>
          <w:iCs/>
          <w:color w:val="000000" w:themeColor="text1"/>
        </w:rPr>
        <w:t>Solari</w:t>
      </w:r>
      <w:proofErr w:type="spellEnd"/>
      <w:r>
        <w:rPr>
          <w:iCs/>
          <w:color w:val="000000" w:themeColor="text1"/>
        </w:rPr>
        <w:t xml:space="preserve">, L., Stuart, F.M., </w:t>
      </w:r>
      <w:proofErr w:type="spellStart"/>
      <w:r>
        <w:rPr>
          <w:iCs/>
          <w:color w:val="000000" w:themeColor="text1"/>
        </w:rPr>
        <w:t>Vannucchi</w:t>
      </w:r>
      <w:proofErr w:type="spellEnd"/>
      <w:r>
        <w:rPr>
          <w:iCs/>
          <w:color w:val="000000" w:themeColor="text1"/>
        </w:rPr>
        <w:t xml:space="preserve">, P., </w:t>
      </w:r>
      <w:proofErr w:type="spellStart"/>
      <w:r>
        <w:rPr>
          <w:iCs/>
          <w:color w:val="000000" w:themeColor="text1"/>
        </w:rPr>
        <w:t>Zellmer</w:t>
      </w:r>
      <w:proofErr w:type="spellEnd"/>
      <w:r>
        <w:rPr>
          <w:iCs/>
          <w:color w:val="000000" w:themeColor="text1"/>
        </w:rPr>
        <w:t xml:space="preserve">, G.F. (2015) ‘Crustal recycling by subduction erosion in the central Mexican Volcanic Belt’, </w:t>
      </w:r>
      <w:proofErr w:type="spellStart"/>
      <w:r>
        <w:rPr>
          <w:iCs/>
          <w:color w:val="000000" w:themeColor="text1"/>
        </w:rPr>
        <w:t>Geochimica</w:t>
      </w:r>
      <w:proofErr w:type="spellEnd"/>
      <w:r>
        <w:rPr>
          <w:iCs/>
          <w:color w:val="000000" w:themeColor="text1"/>
        </w:rPr>
        <w:t xml:space="preserve"> et </w:t>
      </w:r>
      <w:proofErr w:type="spellStart"/>
      <w:r>
        <w:rPr>
          <w:iCs/>
          <w:color w:val="000000" w:themeColor="text1"/>
        </w:rPr>
        <w:t>Cosmochimica</w:t>
      </w:r>
      <w:proofErr w:type="spellEnd"/>
      <w:r>
        <w:rPr>
          <w:iCs/>
          <w:color w:val="000000" w:themeColor="text1"/>
        </w:rPr>
        <w:t xml:space="preserve"> Acta, 166, pp. 29–52. http://dx.doi.org/10.1016/j.gca.2015.06.001.</w:t>
      </w:r>
    </w:p>
    <w:p w14:paraId="532C5A2F" w14:textId="77777777" w:rsidR="00B24449" w:rsidRPr="00D1675B" w:rsidRDefault="00B24449" w:rsidP="00DC7AB5">
      <w:pPr>
        <w:pStyle w:val="NoSpacing"/>
        <w:rPr>
          <w:bCs/>
        </w:rPr>
      </w:pPr>
    </w:p>
    <w:p w14:paraId="6E94E7E7" w14:textId="77777777" w:rsidR="003945F1" w:rsidRPr="003945F1" w:rsidRDefault="003945F1" w:rsidP="003945F1">
      <w:pPr>
        <w:spacing w:line="256" w:lineRule="auto"/>
        <w:ind w:left="1440" w:hanging="1440"/>
        <w:rPr>
          <w:rFonts w:ascii="Calibri" w:eastAsia="Calibri" w:hAnsi="Calibri" w:cs="Times New Roman"/>
          <w:b/>
        </w:rPr>
      </w:pPr>
      <w:r w:rsidRPr="003945F1">
        <w:rPr>
          <w:rFonts w:ascii="Calibri" w:eastAsia="Calibri" w:hAnsi="Calibri" w:cs="Times New Roman"/>
          <w:b/>
        </w:rPr>
        <w:t xml:space="preserve">Funding details: </w:t>
      </w:r>
    </w:p>
    <w:p w14:paraId="61916E4B" w14:textId="77777777" w:rsidR="003945F1" w:rsidRPr="003945F1" w:rsidRDefault="003945F1" w:rsidP="003945F1">
      <w:pPr>
        <w:spacing w:line="256" w:lineRule="auto"/>
        <w:rPr>
          <w:rFonts w:ascii="Calibri" w:eastAsia="Calibri" w:hAnsi="Calibri" w:cs="Times New Roman"/>
        </w:rPr>
      </w:pPr>
      <w:r w:rsidRPr="003945F1">
        <w:rPr>
          <w:rFonts w:ascii="Calibri" w:eastAsia="Calibri" w:hAnsi="Calibri" w:cs="Times New Roman"/>
        </w:rPr>
        <w:t>NERC CENTA studentships are for 3.5 years and are funded by NERC. In addition to the full payment of your tuition fees, you will receive the following financial support:</w:t>
      </w:r>
    </w:p>
    <w:p w14:paraId="23412A4F" w14:textId="77777777" w:rsidR="003945F1" w:rsidRPr="003945F1" w:rsidRDefault="003945F1" w:rsidP="003945F1">
      <w:pPr>
        <w:numPr>
          <w:ilvl w:val="0"/>
          <w:numId w:val="11"/>
        </w:numPr>
        <w:spacing w:line="256" w:lineRule="auto"/>
        <w:rPr>
          <w:rFonts w:ascii="Calibri" w:eastAsia="Calibri" w:hAnsi="Calibri" w:cs="Times New Roman"/>
        </w:rPr>
      </w:pPr>
      <w:r w:rsidRPr="003945F1">
        <w:rPr>
          <w:rFonts w:ascii="Calibri" w:eastAsia="Calibri" w:hAnsi="Calibri" w:cs="Times New Roman"/>
        </w:rPr>
        <w:t>Annual stipend, currently set at £ 17,668 (2022/3 – new figures to be confirmed spring 2023)</w:t>
      </w:r>
    </w:p>
    <w:p w14:paraId="1600E43B" w14:textId="77777777" w:rsidR="003945F1" w:rsidRPr="003945F1" w:rsidRDefault="003945F1" w:rsidP="003945F1">
      <w:pPr>
        <w:numPr>
          <w:ilvl w:val="0"/>
          <w:numId w:val="11"/>
        </w:numPr>
        <w:spacing w:line="256" w:lineRule="auto"/>
        <w:rPr>
          <w:rFonts w:ascii="Calibri" w:eastAsia="Calibri" w:hAnsi="Calibri" w:cs="Times New Roman"/>
        </w:rPr>
      </w:pPr>
      <w:r w:rsidRPr="003945F1">
        <w:rPr>
          <w:rFonts w:ascii="Calibri" w:eastAsia="Calibri" w:hAnsi="Calibri" w:cs="Times New Roman"/>
        </w:rPr>
        <w:t>Research training support grant £8,000 (RTSG)</w:t>
      </w:r>
    </w:p>
    <w:p w14:paraId="3B406282" w14:textId="77777777" w:rsidR="003945F1" w:rsidRPr="003945F1" w:rsidRDefault="003945F1" w:rsidP="003945F1">
      <w:pPr>
        <w:spacing w:line="256" w:lineRule="auto"/>
        <w:rPr>
          <w:rFonts w:ascii="Calibri" w:eastAsia="Calibri" w:hAnsi="Calibri" w:cs="Times New Roman"/>
        </w:rPr>
      </w:pPr>
      <w:bookmarkStart w:id="0" w:name="_Hlk117154148"/>
      <w:r w:rsidRPr="003945F1">
        <w:rPr>
          <w:rFonts w:ascii="Calibri" w:eastAsia="Calibri" w:hAnsi="Calibri" w:cs="Times New Roman"/>
        </w:rPr>
        <w:t>* If you do not meet the criteria for UK Fees you will need to fund the difference between UK and International fees for the duration of your studies.</w:t>
      </w:r>
    </w:p>
    <w:p w14:paraId="300FDC1C" w14:textId="77777777" w:rsidR="003945F1" w:rsidRPr="003945F1" w:rsidRDefault="003945F1" w:rsidP="003945F1">
      <w:pPr>
        <w:spacing w:line="256" w:lineRule="auto"/>
        <w:rPr>
          <w:rFonts w:ascii="Calibri" w:eastAsia="Calibri" w:hAnsi="Calibri" w:cs="Times New Roman"/>
        </w:rPr>
      </w:pPr>
      <w:r w:rsidRPr="003945F1">
        <w:rPr>
          <w:rFonts w:ascii="Calibri" w:eastAsia="Calibri" w:hAnsi="Calibri" w:cs="Times New Roman"/>
        </w:rPr>
        <w:t>* A limited number of top up studentships to fund the difference between UK and International fees may become available but are not guaranteed.</w:t>
      </w:r>
    </w:p>
    <w:bookmarkEnd w:id="0"/>
    <w:p w14:paraId="6B7BF191" w14:textId="77777777" w:rsidR="003945F1" w:rsidRPr="003945F1" w:rsidRDefault="003945F1" w:rsidP="003945F1">
      <w:pPr>
        <w:spacing w:line="256" w:lineRule="auto"/>
        <w:rPr>
          <w:rFonts w:ascii="Calibri" w:eastAsia="Calibri" w:hAnsi="Calibri" w:cs="Times New Roman"/>
        </w:rPr>
      </w:pPr>
      <w:r w:rsidRPr="003945F1">
        <w:rPr>
          <w:rFonts w:ascii="Calibri" w:eastAsia="Calibri" w:hAnsi="Calibri" w:cs="Times New Roman"/>
        </w:rPr>
        <w:t xml:space="preserve">For more details of the CENTA consortium please see the CENTA website: www.centa.org.uk. </w:t>
      </w:r>
    </w:p>
    <w:p w14:paraId="0CEF27E3" w14:textId="77777777" w:rsidR="003945F1" w:rsidRPr="003945F1" w:rsidRDefault="003945F1" w:rsidP="003945F1">
      <w:pPr>
        <w:spacing w:after="0" w:line="240" w:lineRule="auto"/>
        <w:rPr>
          <w:rFonts w:ascii="Calibri" w:eastAsia="Calibri" w:hAnsi="Calibri" w:cs="Times New Roman"/>
          <w:b/>
        </w:rPr>
      </w:pPr>
      <w:r w:rsidRPr="003945F1">
        <w:rPr>
          <w:rFonts w:ascii="Calibri" w:eastAsia="Calibri" w:hAnsi="Calibri" w:cs="Times New Roman"/>
          <w:b/>
        </w:rPr>
        <w:t>Entry requirements:</w:t>
      </w:r>
    </w:p>
    <w:p w14:paraId="4DD9EBA2" w14:textId="77777777" w:rsidR="003945F1" w:rsidRPr="003945F1" w:rsidRDefault="003945F1" w:rsidP="003945F1">
      <w:pPr>
        <w:spacing w:line="256" w:lineRule="auto"/>
        <w:rPr>
          <w:rFonts w:ascii="Calibri" w:eastAsia="Calibri" w:hAnsi="Calibri" w:cs="Times New Roman"/>
        </w:rPr>
      </w:pPr>
      <w:r w:rsidRPr="003945F1">
        <w:rPr>
          <w:rFonts w:ascii="Calibri" w:eastAsia="Calibri" w:hAnsi="Calibri" w:cs="Times New Roman"/>
        </w:rPr>
        <w:t xml:space="preserve">Applicants are required to hold/or expect to obtain a UK Bachelor Degree 2:1 or better in a relevant subject or overseas equivalent.  </w:t>
      </w:r>
    </w:p>
    <w:p w14:paraId="3C317A39" w14:textId="77777777" w:rsidR="003945F1" w:rsidRPr="003945F1" w:rsidRDefault="003945F1" w:rsidP="003945F1">
      <w:pPr>
        <w:spacing w:line="256" w:lineRule="auto"/>
        <w:rPr>
          <w:rFonts w:ascii="Calibri" w:eastAsia="Calibri" w:hAnsi="Calibri" w:cs="Times New Roman"/>
        </w:rPr>
      </w:pPr>
      <w:r w:rsidRPr="003945F1">
        <w:rPr>
          <w:rFonts w:ascii="Calibri" w:eastAsia="Calibri" w:hAnsi="Calibri" w:cs="Times New Roman"/>
        </w:rPr>
        <w:t xml:space="preserve">The University of Leicester </w:t>
      </w:r>
      <w:hyperlink r:id="rId10" w:history="1">
        <w:r w:rsidRPr="003945F1">
          <w:rPr>
            <w:rFonts w:ascii="Calibri" w:eastAsia="Calibri" w:hAnsi="Calibri" w:cs="Times New Roman"/>
          </w:rPr>
          <w:t>English language</w:t>
        </w:r>
      </w:hyperlink>
      <w:r w:rsidRPr="003945F1">
        <w:rPr>
          <w:rFonts w:ascii="Calibri" w:eastAsia="Calibri" w:hAnsi="Calibri" w:cs="Times New Roman"/>
        </w:rPr>
        <w:t xml:space="preserve"> requirements apply where applicable.</w:t>
      </w:r>
    </w:p>
    <w:p w14:paraId="512AA46A" w14:textId="77777777" w:rsidR="003945F1" w:rsidRPr="003945F1" w:rsidRDefault="003945F1" w:rsidP="003945F1">
      <w:pPr>
        <w:spacing w:line="256" w:lineRule="auto"/>
        <w:ind w:left="1440" w:hanging="1440"/>
        <w:rPr>
          <w:rFonts w:ascii="Calibri" w:eastAsia="Calibri" w:hAnsi="Calibri" w:cs="Times New Roman"/>
          <w:b/>
        </w:rPr>
      </w:pPr>
    </w:p>
    <w:p w14:paraId="6BF249D3" w14:textId="77777777" w:rsidR="003945F1" w:rsidRPr="003945F1" w:rsidRDefault="003945F1" w:rsidP="003945F1">
      <w:pPr>
        <w:spacing w:line="256" w:lineRule="auto"/>
        <w:ind w:left="1440" w:hanging="1440"/>
        <w:rPr>
          <w:rFonts w:ascii="Calibri" w:eastAsia="Calibri" w:hAnsi="Calibri" w:cs="Times New Roman"/>
          <w:b/>
        </w:rPr>
      </w:pPr>
      <w:r w:rsidRPr="003945F1">
        <w:rPr>
          <w:rFonts w:ascii="Calibri" w:eastAsia="Calibri" w:hAnsi="Calibri" w:cs="Times New Roman"/>
          <w:b/>
        </w:rPr>
        <w:t>Application advice:</w:t>
      </w:r>
    </w:p>
    <w:p w14:paraId="49072341" w14:textId="77777777" w:rsidR="003945F1" w:rsidRPr="003945F1" w:rsidRDefault="003945F1" w:rsidP="003945F1">
      <w:pPr>
        <w:spacing w:line="256" w:lineRule="auto"/>
        <w:rPr>
          <w:rFonts w:ascii="Calibri" w:eastAsia="Calibri" w:hAnsi="Calibri" w:cs="Times New Roman"/>
        </w:rPr>
      </w:pPr>
      <w:bookmarkStart w:id="1" w:name="_Hlk117154174"/>
      <w:r w:rsidRPr="003945F1">
        <w:rPr>
          <w:rFonts w:ascii="Calibri" w:eastAsia="Calibri" w:hAnsi="Calibri" w:cs="Times New Roman"/>
        </w:rPr>
        <w:t xml:space="preserve">To apply please refer to </w:t>
      </w:r>
    </w:p>
    <w:p w14:paraId="31E05B57" w14:textId="77777777" w:rsidR="003945F1" w:rsidRPr="003945F1" w:rsidRDefault="00305A44" w:rsidP="003945F1">
      <w:pPr>
        <w:spacing w:line="256" w:lineRule="auto"/>
        <w:rPr>
          <w:rFonts w:ascii="Calibri" w:eastAsia="Calibri" w:hAnsi="Calibri" w:cs="Times New Roman"/>
        </w:rPr>
      </w:pPr>
      <w:hyperlink r:id="rId11" w:history="1">
        <w:r w:rsidR="003945F1" w:rsidRPr="003945F1">
          <w:rPr>
            <w:rFonts w:ascii="Calibri" w:eastAsia="Calibri" w:hAnsi="Calibri" w:cs="Times New Roman"/>
            <w:color w:val="0563C1" w:themeColor="hyperlink"/>
            <w:u w:val="single"/>
          </w:rPr>
          <w:t>https://le.ac.uk/study/research-degrees/funded-opportunities/centa-phd-studentships</w:t>
        </w:r>
      </w:hyperlink>
    </w:p>
    <w:p w14:paraId="071CF392" w14:textId="77777777" w:rsidR="003945F1" w:rsidRPr="003945F1" w:rsidRDefault="003945F1" w:rsidP="003945F1">
      <w:pPr>
        <w:shd w:val="clear" w:color="auto" w:fill="FFFFFF"/>
        <w:spacing w:after="0" w:line="240" w:lineRule="auto"/>
        <w:rPr>
          <w:rFonts w:ascii="Calibri" w:eastAsia="Times New Roman" w:hAnsi="Calibri" w:cs="Calibri"/>
          <w:color w:val="3C3C3C"/>
          <w:lang w:eastAsia="en-GB"/>
        </w:rPr>
      </w:pPr>
      <w:r w:rsidRPr="003945F1">
        <w:rPr>
          <w:rFonts w:ascii="Calibri" w:eastAsia="Times New Roman" w:hAnsi="Calibri" w:cs="Calibri"/>
          <w:color w:val="3C3C3C"/>
          <w:shd w:val="clear" w:color="auto" w:fill="FFFFFF"/>
          <w:lang w:eastAsia="en-GB"/>
        </w:rPr>
        <w:t>With your application, please include:</w:t>
      </w:r>
    </w:p>
    <w:p w14:paraId="7CB8EF25" w14:textId="77777777" w:rsidR="003945F1" w:rsidRPr="003945F1" w:rsidRDefault="003945F1" w:rsidP="003945F1">
      <w:pPr>
        <w:numPr>
          <w:ilvl w:val="0"/>
          <w:numId w:val="12"/>
        </w:numPr>
        <w:shd w:val="clear" w:color="auto" w:fill="FFFFFF"/>
        <w:spacing w:before="100" w:beforeAutospacing="1" w:after="100" w:afterAutospacing="1" w:line="240" w:lineRule="auto"/>
        <w:rPr>
          <w:rFonts w:ascii="Calibri" w:eastAsia="Times New Roman" w:hAnsi="Calibri" w:cs="Calibri"/>
          <w:color w:val="3C3C3C"/>
          <w:lang w:eastAsia="en-GB"/>
        </w:rPr>
      </w:pPr>
      <w:r w:rsidRPr="003945F1">
        <w:rPr>
          <w:rFonts w:ascii="Calibri" w:eastAsia="Times New Roman" w:hAnsi="Calibri" w:cs="Calibri"/>
          <w:color w:val="3C3C3C"/>
          <w:lang w:eastAsia="en-GB"/>
        </w:rPr>
        <w:t>CENTA Application form - available to download on the How to Apply section of the above link</w:t>
      </w:r>
    </w:p>
    <w:bookmarkEnd w:id="1"/>
    <w:p w14:paraId="5DBB46BD" w14:textId="77777777" w:rsidR="003945F1" w:rsidRPr="003945F1" w:rsidRDefault="003945F1" w:rsidP="003945F1">
      <w:pPr>
        <w:numPr>
          <w:ilvl w:val="0"/>
          <w:numId w:val="12"/>
        </w:numPr>
        <w:shd w:val="clear" w:color="auto" w:fill="FFFFFF"/>
        <w:spacing w:before="100" w:beforeAutospacing="1" w:after="100" w:afterAutospacing="1" w:line="240" w:lineRule="auto"/>
        <w:rPr>
          <w:rFonts w:ascii="Calibri" w:eastAsia="Times New Roman" w:hAnsi="Calibri" w:cs="Calibri"/>
          <w:color w:val="3C3C3C"/>
          <w:lang w:eastAsia="en-GB"/>
        </w:rPr>
      </w:pPr>
      <w:r w:rsidRPr="003945F1">
        <w:rPr>
          <w:rFonts w:ascii="Calibri" w:eastAsia="Times New Roman" w:hAnsi="Calibri" w:cs="Calibri"/>
          <w:color w:val="3C3C3C"/>
          <w:lang w:eastAsia="en-GB"/>
        </w:rPr>
        <w:t>CV</w:t>
      </w:r>
    </w:p>
    <w:p w14:paraId="7495BADE" w14:textId="77777777" w:rsidR="003945F1" w:rsidRPr="003945F1" w:rsidRDefault="003945F1" w:rsidP="003945F1">
      <w:pPr>
        <w:numPr>
          <w:ilvl w:val="0"/>
          <w:numId w:val="12"/>
        </w:numPr>
        <w:shd w:val="clear" w:color="auto" w:fill="FFFFFF"/>
        <w:spacing w:before="100" w:beforeAutospacing="1" w:after="100" w:afterAutospacing="1" w:line="240" w:lineRule="auto"/>
        <w:rPr>
          <w:rFonts w:ascii="Calibri" w:eastAsia="Times New Roman" w:hAnsi="Calibri" w:cs="Calibri"/>
          <w:color w:val="3C3C3C"/>
          <w:lang w:eastAsia="en-GB"/>
        </w:rPr>
      </w:pPr>
      <w:r w:rsidRPr="003945F1">
        <w:rPr>
          <w:rFonts w:ascii="Calibri" w:eastAsia="Times New Roman" w:hAnsi="Calibri" w:cs="Calibri"/>
          <w:color w:val="3C3C3C"/>
          <w:lang w:eastAsia="en-GB"/>
        </w:rPr>
        <w:lastRenderedPageBreak/>
        <w:t>Personal statement explaining your interest in the project, your experience and why we should consider you</w:t>
      </w:r>
    </w:p>
    <w:p w14:paraId="2F2EBA4E" w14:textId="77777777" w:rsidR="003945F1" w:rsidRPr="003945F1" w:rsidRDefault="003945F1" w:rsidP="003945F1">
      <w:pPr>
        <w:numPr>
          <w:ilvl w:val="0"/>
          <w:numId w:val="12"/>
        </w:numPr>
        <w:shd w:val="clear" w:color="auto" w:fill="FFFFFF"/>
        <w:spacing w:before="100" w:beforeAutospacing="1" w:after="100" w:afterAutospacing="1" w:line="240" w:lineRule="auto"/>
        <w:rPr>
          <w:rFonts w:ascii="Calibri" w:eastAsia="Times New Roman" w:hAnsi="Calibri" w:cs="Calibri"/>
          <w:color w:val="3C3C3C"/>
          <w:lang w:eastAsia="en-GB"/>
        </w:rPr>
      </w:pPr>
      <w:r w:rsidRPr="003945F1">
        <w:rPr>
          <w:rFonts w:ascii="Calibri" w:eastAsia="Times New Roman" w:hAnsi="Calibri" w:cs="Calibri"/>
          <w:color w:val="3C3C3C"/>
          <w:lang w:eastAsia="en-GB"/>
        </w:rPr>
        <w:t>Degree Certificates and Transcripts of study already completed and if possible transcript to date of study currently being undertaken</w:t>
      </w:r>
    </w:p>
    <w:p w14:paraId="2EAE0C4B" w14:textId="77777777" w:rsidR="003945F1" w:rsidRPr="003945F1" w:rsidRDefault="003945F1" w:rsidP="003945F1">
      <w:pPr>
        <w:numPr>
          <w:ilvl w:val="0"/>
          <w:numId w:val="12"/>
        </w:numPr>
        <w:shd w:val="clear" w:color="auto" w:fill="FFFFFF"/>
        <w:spacing w:before="100" w:beforeAutospacing="1" w:after="100" w:afterAutospacing="1" w:line="240" w:lineRule="auto"/>
        <w:rPr>
          <w:rFonts w:ascii="Calibri" w:eastAsia="Times New Roman" w:hAnsi="Calibri" w:cs="Calibri"/>
          <w:color w:val="3C3C3C"/>
          <w:lang w:eastAsia="en-GB"/>
        </w:rPr>
      </w:pPr>
      <w:r w:rsidRPr="003945F1">
        <w:rPr>
          <w:rFonts w:ascii="Calibri" w:eastAsia="Times New Roman" w:hAnsi="Calibri" w:cs="Calibri"/>
          <w:color w:val="3C3C3C"/>
          <w:lang w:eastAsia="en-GB"/>
        </w:rPr>
        <w:t>Evidence of English language proficiency if applicable</w:t>
      </w:r>
    </w:p>
    <w:p w14:paraId="661A576F" w14:textId="77777777" w:rsidR="003945F1" w:rsidRPr="003945F1" w:rsidRDefault="003945F1" w:rsidP="003945F1">
      <w:pPr>
        <w:numPr>
          <w:ilvl w:val="0"/>
          <w:numId w:val="12"/>
        </w:numPr>
        <w:shd w:val="clear" w:color="auto" w:fill="FFFFFF"/>
        <w:spacing w:before="100" w:beforeAutospacing="1" w:after="100" w:afterAutospacing="1" w:line="240" w:lineRule="auto"/>
        <w:rPr>
          <w:rFonts w:ascii="Calibri" w:eastAsia="Times New Roman" w:hAnsi="Calibri" w:cs="Calibri"/>
          <w:color w:val="3C3C3C"/>
          <w:lang w:eastAsia="en-GB"/>
        </w:rPr>
      </w:pPr>
      <w:r w:rsidRPr="003945F1">
        <w:rPr>
          <w:rFonts w:ascii="Calibri" w:eastAsia="Times New Roman" w:hAnsi="Calibri" w:cs="Calibri"/>
          <w:color w:val="3C3C3C"/>
          <w:lang w:eastAsia="en-GB"/>
        </w:rPr>
        <w:t>In the reference section please enter the contact details of your two academic referees in the boxes provided or upload letters of reference if already available.</w:t>
      </w:r>
    </w:p>
    <w:p w14:paraId="1B993463" w14:textId="78882868" w:rsidR="003945F1" w:rsidRPr="003945F1" w:rsidRDefault="003945F1" w:rsidP="003945F1">
      <w:pPr>
        <w:shd w:val="clear" w:color="auto" w:fill="FFFFFF"/>
        <w:spacing w:after="0" w:line="240" w:lineRule="auto"/>
        <w:rPr>
          <w:rFonts w:ascii="Calibri" w:eastAsia="Times New Roman" w:hAnsi="Calibri" w:cs="Calibri"/>
          <w:color w:val="FF0000"/>
          <w:lang w:eastAsia="en-GB"/>
        </w:rPr>
      </w:pPr>
      <w:r w:rsidRPr="003945F1">
        <w:rPr>
          <w:rFonts w:ascii="Calibri" w:eastAsia="Times New Roman" w:hAnsi="Calibri" w:cs="Calibri"/>
          <w:color w:val="3C3C3C"/>
          <w:lang w:eastAsia="en-GB"/>
        </w:rPr>
        <w:t xml:space="preserve">In the funding section please specify that you wish to be considered for </w:t>
      </w:r>
      <w:r w:rsidRPr="003945F1">
        <w:rPr>
          <w:rFonts w:ascii="Calibri" w:eastAsia="Times New Roman" w:hAnsi="Calibri" w:cs="Calibri"/>
          <w:color w:val="FF0000"/>
          <w:lang w:eastAsia="en-GB"/>
        </w:rPr>
        <w:t>Ref CENTA2-</w:t>
      </w:r>
      <w:r>
        <w:rPr>
          <w:rFonts w:ascii="Calibri" w:eastAsia="Times New Roman" w:hAnsi="Calibri" w:cs="Calibri"/>
          <w:color w:val="FF0000"/>
          <w:lang w:eastAsia="en-GB"/>
        </w:rPr>
        <w:t>SGGE14-REIC</w:t>
      </w:r>
    </w:p>
    <w:p w14:paraId="5F7B857E" w14:textId="77777777" w:rsidR="003945F1" w:rsidRPr="003945F1" w:rsidRDefault="003945F1" w:rsidP="003945F1">
      <w:pPr>
        <w:shd w:val="clear" w:color="auto" w:fill="FFFFFF"/>
        <w:spacing w:after="0" w:line="240" w:lineRule="auto"/>
        <w:rPr>
          <w:rFonts w:ascii="Calibri" w:eastAsia="Times New Roman" w:hAnsi="Calibri" w:cs="Calibri"/>
          <w:color w:val="3C3C3C"/>
          <w:shd w:val="clear" w:color="auto" w:fill="FFFFFF"/>
          <w:lang w:eastAsia="en-GB"/>
        </w:rPr>
      </w:pPr>
    </w:p>
    <w:p w14:paraId="20BD1036" w14:textId="77777777" w:rsidR="003945F1" w:rsidRPr="003945F1" w:rsidRDefault="003945F1" w:rsidP="003945F1">
      <w:pPr>
        <w:shd w:val="clear" w:color="auto" w:fill="FFFFFF"/>
        <w:spacing w:after="0" w:line="240" w:lineRule="auto"/>
        <w:rPr>
          <w:rFonts w:ascii="Calibri" w:eastAsia="Times New Roman" w:hAnsi="Calibri" w:cs="Calibri"/>
          <w:color w:val="3C3C3C"/>
          <w:lang w:eastAsia="en-GB"/>
        </w:rPr>
      </w:pPr>
      <w:r w:rsidRPr="003945F1">
        <w:rPr>
          <w:rFonts w:ascii="Calibri" w:eastAsia="Times New Roman" w:hAnsi="Calibri" w:cs="Calibri"/>
          <w:color w:val="3C3C3C"/>
          <w:shd w:val="clear" w:color="auto" w:fill="FFFFFF"/>
          <w:lang w:eastAsia="en-GB"/>
        </w:rPr>
        <w:t>In the proposal section please provide the name of the supervisors and project title (a proposal is not required)</w:t>
      </w:r>
    </w:p>
    <w:p w14:paraId="1023AE81" w14:textId="77777777" w:rsidR="003945F1" w:rsidRPr="003945F1" w:rsidRDefault="003945F1" w:rsidP="003945F1">
      <w:pPr>
        <w:spacing w:line="256" w:lineRule="auto"/>
        <w:jc w:val="both"/>
        <w:rPr>
          <w:rFonts w:ascii="Calibri" w:eastAsia="Calibri" w:hAnsi="Calibri" w:cs="Calibri"/>
          <w:b/>
        </w:rPr>
      </w:pPr>
    </w:p>
    <w:p w14:paraId="43EA37E5" w14:textId="77777777" w:rsidR="003945F1" w:rsidRPr="003945F1" w:rsidRDefault="003945F1" w:rsidP="003945F1">
      <w:pPr>
        <w:spacing w:line="256" w:lineRule="auto"/>
        <w:jc w:val="both"/>
        <w:rPr>
          <w:rFonts w:ascii="Calibri" w:eastAsia="Calibri" w:hAnsi="Calibri" w:cs="Calibri"/>
        </w:rPr>
      </w:pPr>
      <w:r w:rsidRPr="003945F1">
        <w:rPr>
          <w:rFonts w:ascii="Calibri" w:eastAsia="Calibri" w:hAnsi="Calibri" w:cs="Calibri"/>
          <w:b/>
        </w:rPr>
        <w:t xml:space="preserve">Project / Funding Enquiries to: </w:t>
      </w:r>
      <w:hyperlink r:id="rId12" w:history="1">
        <w:r w:rsidRPr="003945F1">
          <w:rPr>
            <w:rFonts w:ascii="Calibri" w:eastAsia="Calibri" w:hAnsi="Calibri" w:cs="Calibri"/>
            <w:b/>
            <w:color w:val="0563C1" w:themeColor="hyperlink"/>
            <w:u w:val="single"/>
          </w:rPr>
          <w:t>CENTA@le.ac.uk</w:t>
        </w:r>
      </w:hyperlink>
      <w:r w:rsidRPr="003945F1">
        <w:rPr>
          <w:rFonts w:ascii="Calibri" w:eastAsia="Calibri" w:hAnsi="Calibri" w:cs="Calibri"/>
          <w:b/>
        </w:rPr>
        <w:t xml:space="preserve"> or </w:t>
      </w:r>
      <w:hyperlink r:id="rId13" w:history="1">
        <w:r w:rsidRPr="003945F1">
          <w:rPr>
            <w:rFonts w:ascii="Calibri" w:eastAsia="Calibri" w:hAnsi="Calibri" w:cs="Times New Roman"/>
            <w:color w:val="0563C1" w:themeColor="hyperlink"/>
            <w:u w:val="single"/>
          </w:rPr>
          <w:t>jh592@leicester.ac.uk</w:t>
        </w:r>
      </w:hyperlink>
      <w:r w:rsidRPr="003945F1">
        <w:rPr>
          <w:rFonts w:ascii="Calibri" w:eastAsia="Calibri" w:hAnsi="Calibri" w:cs="Times New Roman"/>
        </w:rPr>
        <w:t xml:space="preserve"> </w:t>
      </w:r>
    </w:p>
    <w:p w14:paraId="0B6F2C67" w14:textId="77777777" w:rsidR="003945F1" w:rsidRPr="003945F1" w:rsidRDefault="003945F1" w:rsidP="003945F1">
      <w:pPr>
        <w:spacing w:line="256" w:lineRule="auto"/>
        <w:rPr>
          <w:rFonts w:ascii="Calibri" w:eastAsia="Calibri" w:hAnsi="Calibri" w:cs="Times New Roman"/>
          <w:b/>
        </w:rPr>
      </w:pPr>
      <w:r w:rsidRPr="003945F1">
        <w:rPr>
          <w:rFonts w:ascii="Calibri" w:eastAsia="Calibri" w:hAnsi="Calibri" w:cs="Calibri"/>
          <w:b/>
        </w:rPr>
        <w:t xml:space="preserve">Application enquiries to </w:t>
      </w:r>
      <w:hyperlink r:id="rId14" w:history="1">
        <w:r w:rsidRPr="003945F1">
          <w:rPr>
            <w:rFonts w:ascii="Calibri" w:eastAsia="Calibri" w:hAnsi="Calibri" w:cs="Calibri"/>
            <w:b/>
            <w:color w:val="0563C1" w:themeColor="hyperlink"/>
            <w:u w:val="single"/>
          </w:rPr>
          <w:t>pgradmissions@le.ac.uk</w:t>
        </w:r>
      </w:hyperlink>
      <w:r w:rsidRPr="003945F1">
        <w:rPr>
          <w:rFonts w:ascii="Calibri" w:eastAsia="Calibri" w:hAnsi="Calibri" w:cs="Times New Roman"/>
          <w:b/>
        </w:rPr>
        <w:t xml:space="preserve"> </w:t>
      </w:r>
    </w:p>
    <w:p w14:paraId="43072796" w14:textId="77777777" w:rsidR="003945F1" w:rsidRPr="003945F1" w:rsidRDefault="003945F1" w:rsidP="003945F1">
      <w:pPr>
        <w:spacing w:after="0" w:line="240" w:lineRule="auto"/>
        <w:rPr>
          <w:rFonts w:ascii="Calibri" w:eastAsia="Calibri" w:hAnsi="Calibri" w:cs="Times New Roman"/>
          <w:bCs/>
        </w:rPr>
      </w:pPr>
    </w:p>
    <w:p w14:paraId="678C96FC" w14:textId="77777777" w:rsidR="00B24449" w:rsidRPr="00D1675B" w:rsidRDefault="00B24449" w:rsidP="00DC7AB5">
      <w:pPr>
        <w:pStyle w:val="NoSpacing"/>
        <w:rPr>
          <w:bCs/>
        </w:rPr>
      </w:pPr>
    </w:p>
    <w:sectPr w:rsidR="00B244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2"/>
  </w:num>
  <w:num w:numId="6">
    <w:abstractNumId w:val="7"/>
  </w:num>
  <w:num w:numId="7">
    <w:abstractNumId w:val="3"/>
  </w:num>
  <w:num w:numId="8">
    <w:abstractNumId w:val="1"/>
  </w:num>
  <w:num w:numId="9">
    <w:abstractNumId w:val="0"/>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CBA"/>
    <w:rsid w:val="001A22DD"/>
    <w:rsid w:val="00242BA4"/>
    <w:rsid w:val="00305A44"/>
    <w:rsid w:val="00330074"/>
    <w:rsid w:val="00342954"/>
    <w:rsid w:val="003945F1"/>
    <w:rsid w:val="003A7DE6"/>
    <w:rsid w:val="003E3E31"/>
    <w:rsid w:val="004C2F09"/>
    <w:rsid w:val="005F7F9C"/>
    <w:rsid w:val="00625104"/>
    <w:rsid w:val="00686A5A"/>
    <w:rsid w:val="00797C94"/>
    <w:rsid w:val="008862CC"/>
    <w:rsid w:val="008B235E"/>
    <w:rsid w:val="00A5584E"/>
    <w:rsid w:val="00B24449"/>
    <w:rsid w:val="00B90549"/>
    <w:rsid w:val="00BB2974"/>
    <w:rsid w:val="00BD3138"/>
    <w:rsid w:val="00C87605"/>
    <w:rsid w:val="00D1675B"/>
    <w:rsid w:val="00DC7AB5"/>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1AED"/>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25104"/>
    <w:rPr>
      <w:i/>
      <w:iCs/>
    </w:rPr>
  </w:style>
  <w:style w:type="character" w:styleId="UnresolvedMention">
    <w:name w:val="Unresolved Mention"/>
    <w:basedOn w:val="DefaultParagraphFont"/>
    <w:uiPriority w:val="99"/>
    <w:semiHidden/>
    <w:unhideWhenUsed/>
    <w:rsid w:val="00342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5274">
      <w:bodyDiv w:val="1"/>
      <w:marLeft w:val="0"/>
      <w:marRight w:val="0"/>
      <w:marTop w:val="0"/>
      <w:marBottom w:val="0"/>
      <w:divBdr>
        <w:top w:val="none" w:sz="0" w:space="0" w:color="auto"/>
        <w:left w:val="none" w:sz="0" w:space="0" w:color="auto"/>
        <w:bottom w:val="none" w:sz="0" w:space="0" w:color="auto"/>
        <w:right w:val="none" w:sz="0" w:space="0" w:color="auto"/>
      </w:divBdr>
    </w:div>
    <w:div w:id="534392736">
      <w:bodyDiv w:val="1"/>
      <w:marLeft w:val="0"/>
      <w:marRight w:val="0"/>
      <w:marTop w:val="0"/>
      <w:marBottom w:val="0"/>
      <w:divBdr>
        <w:top w:val="none" w:sz="0" w:space="0" w:color="auto"/>
        <w:left w:val="none" w:sz="0" w:space="0" w:color="auto"/>
        <w:bottom w:val="none" w:sz="0" w:space="0" w:color="auto"/>
        <w:right w:val="none" w:sz="0" w:space="0" w:color="auto"/>
      </w:divBdr>
    </w:div>
    <w:div w:id="1422096897">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 w:id="21085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ucol.mx" TargetMode="External"/><Relationship Id="rId13" Type="http://schemas.openxmlformats.org/officeDocument/2006/relationships/hyperlink" Target="mailto:jh592@leicester.ac.uk" TargetMode="External"/><Relationship Id="rId3" Type="http://schemas.openxmlformats.org/officeDocument/2006/relationships/styles" Target="styles.xml"/><Relationship Id="rId7" Type="http://schemas.openxmlformats.org/officeDocument/2006/relationships/hyperlink" Target="mailto:ajm131@le.ac.uk" TargetMode="External"/><Relationship Id="rId12" Type="http://schemas.openxmlformats.org/officeDocument/2006/relationships/hyperlink" Target="mailto:CENTA@l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kr6@le.ac.uk" TargetMode="External"/><Relationship Id="rId11" Type="http://schemas.openxmlformats.org/officeDocument/2006/relationships/hyperlink" Target="https://le.ac.uk/study/research-degrees/funded-opportunities/centa-phd-student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c.uk/study/research-degrees/entry-reqs/eng-lang-req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gradmissions@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F30A9-C338-4399-9C9D-4438A58A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11</cp:revision>
  <dcterms:created xsi:type="dcterms:W3CDTF">2020-10-16T14:44:00Z</dcterms:created>
  <dcterms:modified xsi:type="dcterms:W3CDTF">2022-11-17T11:59:00Z</dcterms:modified>
</cp:coreProperties>
</file>