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C9A7" w14:textId="77777777" w:rsidR="00E7657A" w:rsidRDefault="00B90549" w:rsidP="00B24449">
      <w:pPr>
        <w:rPr>
          <w:b/>
        </w:rPr>
      </w:pPr>
      <w:r>
        <w:rPr>
          <w:b/>
        </w:rPr>
        <w:t>PhD studentship Project information</w:t>
      </w:r>
    </w:p>
    <w:p w14:paraId="7D722D24" w14:textId="77777777" w:rsidR="00D1675B" w:rsidRDefault="00D1675B" w:rsidP="00B24449">
      <w:pPr>
        <w:rPr>
          <w:b/>
          <w:color w:val="FF0000"/>
        </w:rPr>
      </w:pPr>
    </w:p>
    <w:p w14:paraId="203AAABA" w14:textId="77777777" w:rsidR="00B90549" w:rsidRDefault="00B90549" w:rsidP="00B24449">
      <w:pPr>
        <w:rPr>
          <w:b/>
        </w:rPr>
      </w:pPr>
      <w:r>
        <w:rPr>
          <w:b/>
        </w:rPr>
        <w:t>Funding Source:</w:t>
      </w:r>
      <w:r w:rsidR="001A22DD">
        <w:rPr>
          <w:b/>
        </w:rPr>
        <w:t xml:space="preserve"> </w:t>
      </w:r>
      <w:r w:rsidR="001A22DD" w:rsidRPr="001A22DD">
        <w:t>CENTA DTP</w:t>
      </w:r>
    </w:p>
    <w:p w14:paraId="05B463BC"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7462E5AE"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111241DE" w14:textId="4D86DBDE" w:rsidR="00186CBA" w:rsidRPr="0089276A"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UK/Inter</w:t>
      </w:r>
      <w:r w:rsidR="00B90549" w:rsidRPr="0089276A">
        <w:rPr>
          <w:rStyle w:val="Hyperlink"/>
          <w:color w:val="auto"/>
          <w:u w:val="none"/>
        </w:rPr>
        <w:t>n</w:t>
      </w:r>
      <w:r w:rsidR="00797C94" w:rsidRPr="0089276A">
        <w:rPr>
          <w:rStyle w:val="Hyperlink"/>
          <w:color w:val="auto"/>
          <w:u w:val="none"/>
        </w:rPr>
        <w:t>ational</w:t>
      </w:r>
    </w:p>
    <w:p w14:paraId="0475ACA8" w14:textId="77777777" w:rsidR="00B90549" w:rsidRPr="0089276A" w:rsidRDefault="00B90549" w:rsidP="00B90549">
      <w:r w:rsidRPr="0089276A">
        <w:rPr>
          <w:b/>
        </w:rPr>
        <w:t>Department/School</w:t>
      </w:r>
      <w:r w:rsidRPr="006429DB">
        <w:rPr>
          <w:b/>
        </w:rPr>
        <w:t>:</w:t>
      </w:r>
      <w:r w:rsidRPr="006429DB">
        <w:t xml:space="preserve">  </w:t>
      </w:r>
      <w:r w:rsidR="001A22DD" w:rsidRPr="006429DB">
        <w:t xml:space="preserve">SGGE </w:t>
      </w:r>
    </w:p>
    <w:p w14:paraId="316D55B1" w14:textId="354F2465" w:rsidR="006429DB" w:rsidRDefault="00B90549" w:rsidP="006429DB">
      <w:pPr>
        <w:rPr>
          <w:bCs/>
        </w:rPr>
      </w:pPr>
      <w:r w:rsidRPr="0089276A">
        <w:rPr>
          <w:b/>
        </w:rPr>
        <w:t>Supervisors:</w:t>
      </w:r>
      <w:r w:rsidRPr="0089276A">
        <w:tab/>
      </w:r>
      <w:r w:rsidR="006429DB">
        <w:t>PI:</w:t>
      </w:r>
      <w:r w:rsidR="006429DB">
        <w:rPr>
          <w:b/>
        </w:rPr>
        <w:t xml:space="preserve"> Professor Michel J Branney  </w:t>
      </w:r>
      <w:proofErr w:type="spellStart"/>
      <w:r w:rsidR="006429DB">
        <w:rPr>
          <w:bCs/>
        </w:rPr>
        <w:t>UoL</w:t>
      </w:r>
      <w:proofErr w:type="spellEnd"/>
      <w:r w:rsidR="006429DB">
        <w:rPr>
          <w:bCs/>
        </w:rPr>
        <w:t xml:space="preserve"> </w:t>
      </w:r>
      <w:hyperlink r:id="rId6" w:history="1">
        <w:r w:rsidR="00B0544C" w:rsidRPr="00B129C4">
          <w:rPr>
            <w:rStyle w:val="Hyperlink"/>
            <w:bCs/>
          </w:rPr>
          <w:t>mjb26@le.ac.uk</w:t>
        </w:r>
      </w:hyperlink>
      <w:r w:rsidR="00B0544C">
        <w:rPr>
          <w:bCs/>
        </w:rPr>
        <w:t xml:space="preserve"> </w:t>
      </w:r>
    </w:p>
    <w:p w14:paraId="4A7D24AB" w14:textId="77777777" w:rsidR="00B90549" w:rsidRPr="0089276A" w:rsidRDefault="006429DB" w:rsidP="006429DB">
      <w:pPr>
        <w:ind w:left="720" w:firstLine="720"/>
      </w:pPr>
      <w:r>
        <w:t>Co-I:</w:t>
      </w:r>
      <w:r>
        <w:rPr>
          <w:b/>
        </w:rPr>
        <w:t xml:space="preserve"> Dr Tiffany Barry    </w:t>
      </w:r>
      <w:r>
        <w:rPr>
          <w:bCs/>
        </w:rPr>
        <w:t>UoL tlb2@le.ac.uk</w:t>
      </w:r>
    </w:p>
    <w:p w14:paraId="3DF484E5"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6429DB" w:rsidRPr="006429DB">
        <w:t>What happens during an explosive super-eruption?</w:t>
      </w:r>
    </w:p>
    <w:p w14:paraId="689B17AF" w14:textId="77777777" w:rsidR="00186CBA" w:rsidRPr="0089276A" w:rsidRDefault="00186CBA" w:rsidP="00186CBA">
      <w:pPr>
        <w:ind w:left="1440" w:hanging="1440"/>
        <w:rPr>
          <w:bCs/>
        </w:rPr>
      </w:pPr>
    </w:p>
    <w:p w14:paraId="20E89441" w14:textId="4C091CFD" w:rsidR="00186CBA" w:rsidRPr="0089276A" w:rsidRDefault="00186CBA" w:rsidP="00186CBA">
      <w:pPr>
        <w:ind w:left="1440" w:hanging="1440"/>
        <w:rPr>
          <w:b/>
          <w:bCs/>
        </w:rPr>
      </w:pPr>
      <w:r w:rsidRPr="0089276A">
        <w:rPr>
          <w:b/>
          <w:bCs/>
        </w:rPr>
        <w:t>Project Description</w:t>
      </w:r>
      <w:r w:rsidR="00B90549" w:rsidRPr="0089276A">
        <w:rPr>
          <w:b/>
          <w:bCs/>
        </w:rPr>
        <w:t xml:space="preserve"> </w:t>
      </w:r>
      <w:r w:rsidRPr="0089276A">
        <w:rPr>
          <w:b/>
          <w:bCs/>
        </w:rPr>
        <w:t>:</w:t>
      </w:r>
    </w:p>
    <w:p w14:paraId="158C48DF" w14:textId="77777777" w:rsidR="006429DB" w:rsidRDefault="006429DB" w:rsidP="006429DB">
      <w:pPr>
        <w:rPr>
          <w:b/>
        </w:rPr>
      </w:pPr>
      <w:r>
        <w:rPr>
          <w:b/>
        </w:rPr>
        <w:t xml:space="preserve">Project Highlights: </w:t>
      </w:r>
    </w:p>
    <w:p w14:paraId="41D462E3" w14:textId="77777777" w:rsidR="006429DB" w:rsidRDefault="006429DB" w:rsidP="006429DB">
      <w:pPr>
        <w:pStyle w:val="ListParagraph"/>
        <w:numPr>
          <w:ilvl w:val="0"/>
          <w:numId w:val="9"/>
        </w:numPr>
        <w:spacing w:line="256" w:lineRule="auto"/>
      </w:pPr>
      <w:r>
        <w:t>Fieldwork in the Yellowstone hotspot track in southern Idaho and Nevada, USA</w:t>
      </w:r>
    </w:p>
    <w:p w14:paraId="0BE26A12" w14:textId="77777777" w:rsidR="006429DB" w:rsidRDefault="006429DB" w:rsidP="006429DB">
      <w:pPr>
        <w:pStyle w:val="ListParagraph"/>
        <w:numPr>
          <w:ilvl w:val="0"/>
          <w:numId w:val="9"/>
        </w:numPr>
        <w:spacing w:line="256" w:lineRule="auto"/>
      </w:pPr>
      <w:r>
        <w:t>Physical volcanology of a super-eruption</w:t>
      </w:r>
    </w:p>
    <w:p w14:paraId="080BF295" w14:textId="77777777" w:rsidR="006429DB" w:rsidRDefault="006429DB" w:rsidP="006429DB">
      <w:pPr>
        <w:pStyle w:val="ListParagraph"/>
        <w:numPr>
          <w:ilvl w:val="0"/>
          <w:numId w:val="9"/>
        </w:numPr>
        <w:spacing w:line="256" w:lineRule="auto"/>
      </w:pPr>
      <w:r>
        <w:t>Variations in glass chemistry used to track what happens during a catastrophic event</w:t>
      </w:r>
    </w:p>
    <w:p w14:paraId="4D6600E4" w14:textId="77777777" w:rsidR="006429DB" w:rsidRDefault="006429DB" w:rsidP="006429DB">
      <w:pPr>
        <w:pStyle w:val="ListParagraph"/>
        <w:numPr>
          <w:ilvl w:val="0"/>
          <w:numId w:val="9"/>
        </w:numPr>
        <w:spacing w:line="256" w:lineRule="auto"/>
      </w:pPr>
      <w:r>
        <w:t>Training in modern fieldwork and micro-analytic techniques within a dynamic research team.</w:t>
      </w:r>
    </w:p>
    <w:p w14:paraId="5D3CFE99" w14:textId="77777777" w:rsidR="006429DB" w:rsidRDefault="006429DB" w:rsidP="006429DB">
      <w:r>
        <w:rPr>
          <w:b/>
        </w:rPr>
        <w:t xml:space="preserve">Overview: </w:t>
      </w:r>
    </w:p>
    <w:p w14:paraId="08001046" w14:textId="77777777" w:rsidR="006429DB" w:rsidRDefault="006429DB" w:rsidP="006429DB">
      <w:pPr>
        <w:pStyle w:val="Default"/>
        <w:rPr>
          <w:rFonts w:asciiTheme="minorHAnsi" w:hAnsiTheme="minorHAnsi"/>
          <w:sz w:val="22"/>
          <w:szCs w:val="22"/>
        </w:rPr>
      </w:pPr>
      <w:r>
        <w:rPr>
          <w:rFonts w:asciiTheme="minorHAnsi" w:hAnsiTheme="minorHAnsi"/>
          <w:sz w:val="22"/>
          <w:szCs w:val="22"/>
        </w:rPr>
        <w:t xml:space="preserve">Much attention has been given to identifying giant explosive volcanic eruptions in the geological record, and estimating their size and frequency. Less attention has been given to what actually happens </w:t>
      </w:r>
      <w:r>
        <w:rPr>
          <w:rFonts w:asciiTheme="minorHAnsi" w:hAnsiTheme="minorHAnsi"/>
          <w:i/>
          <w:iCs/>
          <w:sz w:val="22"/>
          <w:szCs w:val="22"/>
        </w:rPr>
        <w:t>during</w:t>
      </w:r>
      <w:r>
        <w:rPr>
          <w:rFonts w:asciiTheme="minorHAnsi" w:hAnsiTheme="minorHAnsi"/>
          <w:sz w:val="22"/>
          <w:szCs w:val="22"/>
        </w:rPr>
        <w:t xml:space="preserve"> one of these eruptions; e.g. what are the physical processes, how long do they last, and how does a single eruption evolve with time? It is becoming apparent that the </w:t>
      </w:r>
      <w:r>
        <w:rPr>
          <w:rFonts w:asciiTheme="minorHAnsi" w:hAnsiTheme="minorHAnsi"/>
          <w:i/>
          <w:iCs/>
          <w:sz w:val="22"/>
          <w:szCs w:val="22"/>
        </w:rPr>
        <w:t>style</w:t>
      </w:r>
      <w:r>
        <w:rPr>
          <w:rFonts w:asciiTheme="minorHAnsi" w:hAnsiTheme="minorHAnsi"/>
          <w:sz w:val="22"/>
          <w:szCs w:val="22"/>
        </w:rPr>
        <w:t xml:space="preserve"> of giant eruptions may differ fundamentally from the largest (e.g. Plinian) historic eruptions</w:t>
      </w:r>
      <w:r>
        <w:rPr>
          <w:rFonts w:asciiTheme="minorHAnsi" w:hAnsiTheme="minorHAnsi"/>
          <w:sz w:val="22"/>
          <w:szCs w:val="22"/>
          <w:vertAlign w:val="superscript"/>
        </w:rPr>
        <w:t>1,2</w:t>
      </w:r>
      <w:r>
        <w:rPr>
          <w:rFonts w:asciiTheme="minorHAnsi" w:hAnsiTheme="minorHAnsi"/>
          <w:sz w:val="22"/>
          <w:szCs w:val="22"/>
        </w:rPr>
        <w:t xml:space="preserve"> (Fig. 1). Resolving these issues is important if we are to understand the wider effects of major events</w:t>
      </w:r>
      <w:r>
        <w:rPr>
          <w:rFonts w:asciiTheme="minorHAnsi" w:hAnsiTheme="minorHAnsi"/>
          <w:sz w:val="22"/>
          <w:szCs w:val="22"/>
          <w:vertAlign w:val="superscript"/>
        </w:rPr>
        <w:t>1</w:t>
      </w:r>
      <w:r>
        <w:rPr>
          <w:rFonts w:asciiTheme="minorHAnsi" w:hAnsiTheme="minorHAnsi"/>
          <w:sz w:val="22"/>
          <w:szCs w:val="22"/>
        </w:rPr>
        <w:t>.</w:t>
      </w:r>
    </w:p>
    <w:p w14:paraId="057CF4FF" w14:textId="77777777" w:rsidR="006429DB" w:rsidRDefault="006429DB" w:rsidP="006429DB">
      <w:pPr>
        <w:pStyle w:val="Default"/>
        <w:rPr>
          <w:rFonts w:asciiTheme="minorHAnsi" w:hAnsiTheme="minorHAnsi"/>
          <w:bCs/>
          <w:sz w:val="22"/>
          <w:szCs w:val="22"/>
        </w:rPr>
      </w:pPr>
    </w:p>
    <w:p w14:paraId="25CF8A85" w14:textId="77777777" w:rsidR="006429DB" w:rsidRDefault="006429DB" w:rsidP="006429DB">
      <w:pPr>
        <w:pStyle w:val="Default"/>
        <w:rPr>
          <w:rFonts w:asciiTheme="minorHAnsi" w:hAnsiTheme="minorHAnsi"/>
          <w:sz w:val="22"/>
          <w:szCs w:val="22"/>
        </w:rPr>
      </w:pPr>
      <w:r>
        <w:rPr>
          <w:rFonts w:asciiTheme="minorHAnsi" w:hAnsiTheme="minorHAnsi"/>
          <w:noProof/>
          <w:sz w:val="22"/>
          <w:szCs w:val="22"/>
          <w:lang w:val="en-GB" w:eastAsia="en-GB"/>
        </w:rPr>
        <w:drawing>
          <wp:inline distT="0" distB="0" distL="0" distR="0" wp14:anchorId="67CB24FF" wp14:editId="775742BE">
            <wp:extent cx="5720080" cy="15525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080" cy="1552575"/>
                    </a:xfrm>
                    <a:prstGeom prst="rect">
                      <a:avLst/>
                    </a:prstGeom>
                    <a:noFill/>
                    <a:ln>
                      <a:noFill/>
                    </a:ln>
                  </pic:spPr>
                </pic:pic>
              </a:graphicData>
            </a:graphic>
          </wp:inline>
        </w:drawing>
      </w:r>
    </w:p>
    <w:p w14:paraId="2601C66B" w14:textId="77777777" w:rsidR="006429DB" w:rsidRDefault="006429DB" w:rsidP="006429DB">
      <w:pPr>
        <w:spacing w:after="0"/>
        <w:ind w:left="567" w:hanging="567"/>
        <w:jc w:val="center"/>
        <w:rPr>
          <w:i/>
          <w:sz w:val="20"/>
          <w:szCs w:val="20"/>
        </w:rPr>
      </w:pPr>
      <w:r>
        <w:rPr>
          <w:b/>
          <w:bCs/>
          <w:i/>
          <w:sz w:val="20"/>
          <w:szCs w:val="20"/>
        </w:rPr>
        <w:t>Fig. 1</w:t>
      </w:r>
      <w:r>
        <w:rPr>
          <w:i/>
          <w:sz w:val="20"/>
          <w:szCs w:val="20"/>
        </w:rPr>
        <w:t xml:space="preserve">: Are plumes of super-eruptions really doughnut-shaped? (simulation from </w:t>
      </w:r>
      <w:r>
        <w:rPr>
          <w:i/>
          <w:sz w:val="20"/>
          <w:szCs w:val="20"/>
          <w:vertAlign w:val="superscript"/>
        </w:rPr>
        <w:t>2</w:t>
      </w:r>
      <w:r>
        <w:rPr>
          <w:i/>
          <w:sz w:val="20"/>
          <w:szCs w:val="20"/>
        </w:rPr>
        <w:t xml:space="preserve">). </w:t>
      </w:r>
    </w:p>
    <w:p w14:paraId="2D25AFE5" w14:textId="77777777" w:rsidR="006429DB" w:rsidRDefault="006429DB" w:rsidP="006429DB">
      <w:pPr>
        <w:spacing w:after="0"/>
        <w:ind w:left="567" w:hanging="567"/>
        <w:jc w:val="center"/>
        <w:rPr>
          <w:i/>
          <w:sz w:val="20"/>
          <w:szCs w:val="20"/>
        </w:rPr>
      </w:pPr>
      <w:r>
        <w:rPr>
          <w:i/>
          <w:sz w:val="20"/>
          <w:szCs w:val="20"/>
        </w:rPr>
        <w:t>The evidence lies in vast pyroclastic sheet-like deposits;  Snake River ignimbrites, USA</w:t>
      </w:r>
      <w:r>
        <w:rPr>
          <w:i/>
          <w:sz w:val="20"/>
          <w:szCs w:val="20"/>
          <w:vertAlign w:val="superscript"/>
        </w:rPr>
        <w:t>1</w:t>
      </w:r>
      <w:r>
        <w:rPr>
          <w:i/>
          <w:sz w:val="20"/>
          <w:szCs w:val="20"/>
        </w:rPr>
        <w:t xml:space="preserve"> (right).</w:t>
      </w:r>
    </w:p>
    <w:p w14:paraId="19D9A070" w14:textId="77777777" w:rsidR="006429DB" w:rsidRDefault="006429DB" w:rsidP="006429DB">
      <w:pPr>
        <w:pStyle w:val="Default"/>
        <w:rPr>
          <w:rFonts w:asciiTheme="minorHAnsi" w:hAnsiTheme="minorHAnsi"/>
          <w:sz w:val="22"/>
          <w:szCs w:val="22"/>
        </w:rPr>
      </w:pPr>
    </w:p>
    <w:p w14:paraId="4CEC9DA9" w14:textId="77777777" w:rsidR="006429DB" w:rsidRDefault="006429DB" w:rsidP="006429DB">
      <w:pPr>
        <w:pStyle w:val="Default"/>
        <w:rPr>
          <w:rFonts w:asciiTheme="minorHAnsi" w:hAnsiTheme="minorHAnsi"/>
          <w:bCs/>
          <w:sz w:val="22"/>
          <w:szCs w:val="22"/>
        </w:rPr>
      </w:pPr>
      <w:r>
        <w:rPr>
          <w:rFonts w:asciiTheme="minorHAnsi" w:hAnsiTheme="minorHAnsi"/>
          <w:sz w:val="22"/>
          <w:szCs w:val="22"/>
        </w:rPr>
        <w:t>This PhD project aims to develop new understanding about what happens during a super-eruption. It focusses on an eruption in Idaho, USA, with a volume of</w:t>
      </w:r>
      <w:r>
        <w:rPr>
          <w:rFonts w:asciiTheme="minorHAnsi" w:hAnsiTheme="minorHAnsi"/>
          <w:bCs/>
          <w:sz w:val="22"/>
          <w:szCs w:val="22"/>
        </w:rPr>
        <w:t xml:space="preserve">  ≤</w:t>
      </w:r>
      <w:r>
        <w:rPr>
          <w:rFonts w:asciiTheme="minorHAnsi" w:hAnsiTheme="minorHAnsi"/>
          <w:sz w:val="22"/>
          <w:szCs w:val="22"/>
        </w:rPr>
        <w:t xml:space="preserve"> </w:t>
      </w:r>
      <w:r>
        <w:rPr>
          <w:rFonts w:asciiTheme="minorHAnsi" w:hAnsiTheme="minorHAnsi"/>
          <w:bCs/>
          <w:sz w:val="22"/>
          <w:szCs w:val="22"/>
        </w:rPr>
        <w:t>2800 km</w:t>
      </w:r>
      <w:r>
        <w:rPr>
          <w:rStyle w:val="A7"/>
          <w:rFonts w:asciiTheme="minorHAnsi" w:hAnsiTheme="minorHAnsi" w:cs="Times New Roman"/>
          <w:color w:val="auto"/>
          <w:sz w:val="22"/>
          <w:szCs w:val="22"/>
          <w:vertAlign w:val="superscript"/>
        </w:rPr>
        <w:t>3</w:t>
      </w:r>
      <w:r>
        <w:rPr>
          <w:rFonts w:asciiTheme="minorHAnsi" w:hAnsiTheme="minorHAnsi"/>
          <w:bCs/>
          <w:sz w:val="22"/>
          <w:szCs w:val="22"/>
        </w:rPr>
        <w:t xml:space="preserve"> (magnitude 8.8) – the largest and hottest eruption from the Yellowstone hotspot yet documented</w:t>
      </w:r>
      <w:r>
        <w:rPr>
          <w:rFonts w:asciiTheme="minorHAnsi" w:hAnsiTheme="minorHAnsi"/>
          <w:bCs/>
          <w:sz w:val="22"/>
          <w:szCs w:val="22"/>
          <w:vertAlign w:val="superscript"/>
        </w:rPr>
        <w:t>3</w:t>
      </w:r>
      <w:r>
        <w:rPr>
          <w:rFonts w:asciiTheme="minorHAnsi" w:hAnsiTheme="minorHAnsi"/>
          <w:sz w:val="22"/>
          <w:szCs w:val="22"/>
        </w:rPr>
        <w:t>. The single welded ignimbrite covers ≥</w:t>
      </w:r>
      <w:r>
        <w:rPr>
          <w:rFonts w:asciiTheme="minorHAnsi" w:hAnsiTheme="minorHAnsi"/>
          <w:bCs/>
          <w:sz w:val="22"/>
          <w:szCs w:val="22"/>
        </w:rPr>
        <w:t>23,000 km</w:t>
      </w:r>
      <w:r>
        <w:rPr>
          <w:rStyle w:val="A7"/>
          <w:rFonts w:asciiTheme="minorHAnsi" w:hAnsiTheme="minorHAnsi" w:cs="Times New Roman"/>
          <w:color w:val="auto"/>
          <w:sz w:val="22"/>
          <w:szCs w:val="22"/>
          <w:vertAlign w:val="superscript"/>
        </w:rPr>
        <w:t>2</w:t>
      </w:r>
      <w:r>
        <w:rPr>
          <w:rFonts w:asciiTheme="minorHAnsi" w:hAnsiTheme="minorHAnsi"/>
          <w:sz w:val="22"/>
          <w:szCs w:val="22"/>
        </w:rPr>
        <w:t xml:space="preserve"> – an area larger than Wales.</w:t>
      </w:r>
      <w:r>
        <w:rPr>
          <w:rFonts w:asciiTheme="minorHAnsi" w:hAnsiTheme="minorHAnsi"/>
          <w:bCs/>
          <w:sz w:val="22"/>
          <w:szCs w:val="22"/>
        </w:rPr>
        <w:t xml:space="preserve"> It is well-exposed</w:t>
      </w:r>
      <w:r>
        <w:rPr>
          <w:rFonts w:asciiTheme="minorHAnsi" w:hAnsiTheme="minorHAnsi"/>
          <w:bCs/>
          <w:sz w:val="22"/>
          <w:szCs w:val="22"/>
          <w:vertAlign w:val="superscript"/>
        </w:rPr>
        <w:t>4</w:t>
      </w:r>
      <w:r>
        <w:rPr>
          <w:rFonts w:asciiTheme="minorHAnsi" w:hAnsiTheme="minorHAnsi"/>
          <w:bCs/>
          <w:sz w:val="22"/>
          <w:szCs w:val="22"/>
        </w:rPr>
        <w:t xml:space="preserve"> allowing field access to ashfall layers and associated ignimbrite, both proximally and distally. The student will document the </w:t>
      </w:r>
      <w:r>
        <w:rPr>
          <w:rFonts w:asciiTheme="minorHAnsi" w:hAnsiTheme="minorHAnsi"/>
          <w:bCs/>
          <w:i/>
          <w:iCs/>
          <w:sz w:val="22"/>
          <w:szCs w:val="22"/>
        </w:rPr>
        <w:lastRenderedPageBreak/>
        <w:t>internal</w:t>
      </w:r>
      <w:r>
        <w:rPr>
          <w:rFonts w:asciiTheme="minorHAnsi" w:hAnsiTheme="minorHAnsi"/>
          <w:bCs/>
          <w:sz w:val="22"/>
          <w:szCs w:val="22"/>
        </w:rPr>
        <w:t xml:space="preserve"> stratigraphy of the deposit in the field, followed by micro-analysis of the glassy ash textures and compositions at different heights, to track how physical processes evolved with time, during the eruption. Results will be used to develop a new model of how the largest eruptions on Earth begin, wax to a peak and then wane, and how the ash from them is more widely dispersed. The project will draw from the latest advances in understanding of large explosive eruptions</w:t>
      </w:r>
      <w:r>
        <w:rPr>
          <w:rFonts w:asciiTheme="minorHAnsi" w:hAnsiTheme="minorHAnsi"/>
          <w:bCs/>
          <w:sz w:val="22"/>
          <w:szCs w:val="22"/>
          <w:vertAlign w:val="superscript"/>
        </w:rPr>
        <w:t>2</w:t>
      </w:r>
      <w:r>
        <w:rPr>
          <w:rFonts w:asciiTheme="minorHAnsi" w:hAnsiTheme="minorHAnsi"/>
          <w:bCs/>
          <w:sz w:val="22"/>
          <w:szCs w:val="22"/>
        </w:rPr>
        <w:t>, and should improve our understanding of some of the largest events on Earth.</w:t>
      </w:r>
    </w:p>
    <w:p w14:paraId="2C694658" w14:textId="77777777" w:rsidR="006429DB" w:rsidRDefault="006429DB" w:rsidP="006429DB">
      <w:pPr>
        <w:ind w:left="567" w:hanging="567"/>
        <w:rPr>
          <w:i/>
          <w:sz w:val="20"/>
          <w:szCs w:val="20"/>
        </w:rPr>
      </w:pPr>
    </w:p>
    <w:p w14:paraId="5DBC71AA" w14:textId="77777777" w:rsidR="006429DB" w:rsidRDefault="006429DB" w:rsidP="006429DB">
      <w:pPr>
        <w:spacing w:after="120"/>
        <w:rPr>
          <w:b/>
        </w:rPr>
      </w:pPr>
      <w:r>
        <w:rPr>
          <w:b/>
        </w:rPr>
        <w:t xml:space="preserve">Methodology: </w:t>
      </w:r>
    </w:p>
    <w:p w14:paraId="21615C7A" w14:textId="77777777" w:rsidR="006429DB" w:rsidRDefault="006429DB" w:rsidP="006429DB">
      <w:pPr>
        <w:jc w:val="both"/>
      </w:pPr>
      <w:r>
        <w:rPr>
          <w:bCs/>
        </w:rPr>
        <w:t>The deposits of a single rhyolitic eruption will be logged and sampled in detail at numerous locations, in Idaho and neighbouring states. Geochemical analysis of individual glass shards</w:t>
      </w:r>
      <w:r>
        <w:rPr>
          <w:bCs/>
          <w:vertAlign w:val="superscript"/>
        </w:rPr>
        <w:t>5</w:t>
      </w:r>
      <w:r>
        <w:rPr>
          <w:bCs/>
        </w:rPr>
        <w:t xml:space="preserve"> at different levels in the deposit will be used </w:t>
      </w:r>
      <w:r>
        <w:t>to define time-lines (‘</w:t>
      </w:r>
      <w:proofErr w:type="spellStart"/>
      <w:r>
        <w:t>entrachrons</w:t>
      </w:r>
      <w:proofErr w:type="spellEnd"/>
      <w:r>
        <w:t xml:space="preserve">’ </w:t>
      </w:r>
      <w:r>
        <w:rPr>
          <w:vertAlign w:val="superscript"/>
        </w:rPr>
        <w:t>5</w:t>
      </w:r>
      <w:r>
        <w:t xml:space="preserve">) that can then be used to correlate with ultra-high precision across 100's of km. This approach will allow us to distinguish between successive time-slices (windows of just a few minutes) during an evolving, protracted volcanic eruption. Where conventional sieving is precluded by welding, new robust techniques developed by the research group will then be employed to quantify the different grainsizes and sorting characteristics of the deposit and used to deduce how each time-slice within it was deposited. The project will, for the first time, produce a time-series of data through a geographic spread of sites, both near to, and far from, the </w:t>
      </w:r>
      <w:proofErr w:type="spellStart"/>
      <w:r>
        <w:t>supervolcano</w:t>
      </w:r>
      <w:proofErr w:type="spellEnd"/>
      <w:r>
        <w:t>. This will provide a unique basis on which to reconstruct how successive events unfolded at different locations as the eruption began, waxed and waned, and as the various types of atmospheric plume and density currents developed and shifted geographically during the eruption. Such detailed reconstruction has not been attempted before on eruptions of this scale.</w:t>
      </w:r>
    </w:p>
    <w:p w14:paraId="2F25865E" w14:textId="77777777" w:rsidR="00B24449" w:rsidRPr="00D1675B" w:rsidRDefault="00B24449" w:rsidP="00DC7AB5">
      <w:pPr>
        <w:pStyle w:val="NoSpacing"/>
        <w:rPr>
          <w:bCs/>
        </w:rPr>
      </w:pPr>
    </w:p>
    <w:p w14:paraId="4DA09A04" w14:textId="77777777" w:rsidR="00B24449" w:rsidRPr="00D1675B" w:rsidRDefault="00B24449" w:rsidP="00DC7AB5">
      <w:pPr>
        <w:pStyle w:val="NoSpacing"/>
        <w:rPr>
          <w:b/>
          <w:bCs/>
        </w:rPr>
      </w:pPr>
      <w:r w:rsidRPr="00D1675B">
        <w:rPr>
          <w:b/>
          <w:bCs/>
        </w:rPr>
        <w:t xml:space="preserve">References: </w:t>
      </w:r>
    </w:p>
    <w:p w14:paraId="25416B70" w14:textId="77777777" w:rsidR="00B24449" w:rsidRPr="00D1675B" w:rsidRDefault="00B24449" w:rsidP="00DC7AB5">
      <w:pPr>
        <w:pStyle w:val="NoSpacing"/>
        <w:rPr>
          <w:bCs/>
        </w:rPr>
      </w:pPr>
    </w:p>
    <w:p w14:paraId="59C37550" w14:textId="77777777" w:rsidR="006429DB" w:rsidRDefault="006429DB" w:rsidP="006429DB">
      <w:pPr>
        <w:ind w:right="-283"/>
        <w:rPr>
          <w:color w:val="000000" w:themeColor="text1"/>
          <w:lang w:val="es-ES"/>
        </w:rPr>
      </w:pPr>
      <w:r>
        <w:rPr>
          <w:color w:val="000000" w:themeColor="text1"/>
          <w:vertAlign w:val="superscript"/>
        </w:rPr>
        <w:t>1</w:t>
      </w:r>
      <w:r>
        <w:rPr>
          <w:color w:val="000000" w:themeColor="text1"/>
        </w:rPr>
        <w:t xml:space="preserve">Branney, M.J., </w:t>
      </w:r>
      <w:proofErr w:type="spellStart"/>
      <w:r>
        <w:rPr>
          <w:color w:val="000000" w:themeColor="text1"/>
        </w:rPr>
        <w:t>Bonnichsen</w:t>
      </w:r>
      <w:proofErr w:type="spellEnd"/>
      <w:r>
        <w:rPr>
          <w:color w:val="000000" w:themeColor="text1"/>
        </w:rPr>
        <w:t xml:space="preserve">, B., Andrews, G.D.M., Ellis, B., Barry, T.L., McCurry, M. 2008. ‘Snake River (SR)–type’ volcanism at the Yellowstone hotspot track: distinctive products from unusual high-temperature silicic super-eruptions’. In: </w:t>
      </w:r>
      <w:proofErr w:type="spellStart"/>
      <w:r>
        <w:rPr>
          <w:color w:val="000000" w:themeColor="text1"/>
          <w:lang w:val="es-ES"/>
        </w:rPr>
        <w:t>Leeman</w:t>
      </w:r>
      <w:proofErr w:type="spellEnd"/>
      <w:r>
        <w:rPr>
          <w:color w:val="000000" w:themeColor="text1"/>
          <w:lang w:val="es-ES"/>
        </w:rPr>
        <w:t>, B., and McCurry (</w:t>
      </w:r>
      <w:proofErr w:type="spellStart"/>
      <w:r>
        <w:rPr>
          <w:color w:val="000000" w:themeColor="text1"/>
          <w:lang w:val="es-ES"/>
        </w:rPr>
        <w:t>eds</w:t>
      </w:r>
      <w:proofErr w:type="spellEnd"/>
      <w:r>
        <w:rPr>
          <w:color w:val="000000" w:themeColor="text1"/>
          <w:lang w:val="es-ES"/>
        </w:rPr>
        <w:t xml:space="preserve">). 2008. </w:t>
      </w:r>
      <w:proofErr w:type="spellStart"/>
      <w:r>
        <w:rPr>
          <w:color w:val="000000" w:themeColor="text1"/>
          <w:lang w:val="es-ES"/>
        </w:rPr>
        <w:t>Volcanism</w:t>
      </w:r>
      <w:proofErr w:type="spellEnd"/>
      <w:r>
        <w:rPr>
          <w:color w:val="000000" w:themeColor="text1"/>
          <w:lang w:val="es-ES"/>
        </w:rPr>
        <w:t xml:space="preserve"> and </w:t>
      </w:r>
      <w:proofErr w:type="spellStart"/>
      <w:r>
        <w:rPr>
          <w:color w:val="000000" w:themeColor="text1"/>
          <w:lang w:val="es-ES"/>
        </w:rPr>
        <w:t>petrogenesis</w:t>
      </w:r>
      <w:proofErr w:type="spellEnd"/>
      <w:r>
        <w:rPr>
          <w:color w:val="000000" w:themeColor="text1"/>
          <w:lang w:val="es-ES"/>
        </w:rPr>
        <w:t xml:space="preserve"> of the </w:t>
      </w:r>
      <w:proofErr w:type="spellStart"/>
      <w:r>
        <w:rPr>
          <w:color w:val="000000" w:themeColor="text1"/>
          <w:lang w:val="es-ES"/>
        </w:rPr>
        <w:t>anorogenic</w:t>
      </w:r>
      <w:proofErr w:type="spellEnd"/>
      <w:r>
        <w:rPr>
          <w:color w:val="000000" w:themeColor="text1"/>
          <w:lang w:val="es-ES"/>
        </w:rPr>
        <w:t xml:space="preserve"> </w:t>
      </w:r>
      <w:proofErr w:type="spellStart"/>
      <w:r>
        <w:rPr>
          <w:color w:val="000000" w:themeColor="text1"/>
          <w:lang w:val="es-ES"/>
        </w:rPr>
        <w:t>rhyolites</w:t>
      </w:r>
      <w:proofErr w:type="spellEnd"/>
      <w:r>
        <w:rPr>
          <w:color w:val="000000" w:themeColor="text1"/>
          <w:lang w:val="es-ES"/>
        </w:rPr>
        <w:t xml:space="preserve">, </w:t>
      </w:r>
      <w:proofErr w:type="spellStart"/>
      <w:r>
        <w:rPr>
          <w:i/>
          <w:iCs/>
          <w:color w:val="000000" w:themeColor="text1"/>
          <w:lang w:val="es-ES"/>
        </w:rPr>
        <w:t>Bulletin</w:t>
      </w:r>
      <w:proofErr w:type="spellEnd"/>
      <w:r>
        <w:rPr>
          <w:i/>
          <w:iCs/>
          <w:color w:val="000000" w:themeColor="text1"/>
          <w:lang w:val="es-ES"/>
        </w:rPr>
        <w:t xml:space="preserve"> of </w:t>
      </w:r>
      <w:proofErr w:type="spellStart"/>
      <w:r>
        <w:rPr>
          <w:i/>
          <w:iCs/>
          <w:color w:val="000000" w:themeColor="text1"/>
          <w:lang w:val="es-ES"/>
        </w:rPr>
        <w:t>Volcanology</w:t>
      </w:r>
      <w:proofErr w:type="spellEnd"/>
      <w:r>
        <w:rPr>
          <w:color w:val="000000" w:themeColor="text1"/>
          <w:lang w:val="es-ES"/>
        </w:rPr>
        <w:t xml:space="preserve"> 70: pp. 293-314.</w:t>
      </w:r>
    </w:p>
    <w:p w14:paraId="3A785ECC" w14:textId="77777777" w:rsidR="006429DB" w:rsidRDefault="006429DB" w:rsidP="006429DB">
      <w:pPr>
        <w:ind w:right="-283"/>
        <w:rPr>
          <w:color w:val="000000" w:themeColor="text1"/>
        </w:rPr>
      </w:pPr>
      <w:r>
        <w:rPr>
          <w:color w:val="000000" w:themeColor="text1"/>
          <w:vertAlign w:val="superscript"/>
        </w:rPr>
        <w:t>2</w:t>
      </w:r>
      <w:r>
        <w:t xml:space="preserve"> Costa, A., Suzuki, Y.J. and </w:t>
      </w:r>
      <w:proofErr w:type="spellStart"/>
      <w:r>
        <w:t>Koyaguchi</w:t>
      </w:r>
      <w:proofErr w:type="spellEnd"/>
      <w:r>
        <w:t xml:space="preserve">, T., 2018. 'Understanding the plume dynamics of Explosive super-eruptions'. </w:t>
      </w:r>
      <w:r>
        <w:rPr>
          <w:i/>
          <w:iCs/>
        </w:rPr>
        <w:t>Nature Communications</w:t>
      </w:r>
      <w:r>
        <w:t xml:space="preserve"> 9:654 </w:t>
      </w:r>
      <w:proofErr w:type="spellStart"/>
      <w:r>
        <w:t>doi</w:t>
      </w:r>
      <w:proofErr w:type="spellEnd"/>
      <w:r>
        <w:t>: 10.1038/s41467-018-02901-0</w:t>
      </w:r>
    </w:p>
    <w:p w14:paraId="36D97EB1" w14:textId="77777777" w:rsidR="006429DB" w:rsidRDefault="006429DB" w:rsidP="006429DB">
      <w:pPr>
        <w:ind w:right="-283"/>
      </w:pPr>
      <w:r>
        <w:rPr>
          <w:color w:val="000000" w:themeColor="text1"/>
          <w:vertAlign w:val="superscript"/>
        </w:rPr>
        <w:t>3</w:t>
      </w:r>
      <w:r>
        <w:rPr>
          <w:color w:val="000000" w:themeColor="text1"/>
        </w:rPr>
        <w:t xml:space="preserve">Knott, T.R., Branney, M.J., Reichow, M.K., Finn, D.R., Tapster, S., Coe, R.S. 2020. ‘Discovery of two new </w:t>
      </w:r>
      <w:proofErr w:type="spellStart"/>
      <w:r>
        <w:rPr>
          <w:color w:val="000000" w:themeColor="text1"/>
        </w:rPr>
        <w:t>superuptions</w:t>
      </w:r>
      <w:proofErr w:type="spellEnd"/>
      <w:r>
        <w:rPr>
          <w:color w:val="000000" w:themeColor="text1"/>
        </w:rPr>
        <w:t xml:space="preserve"> from the Yellowstone hotspot: Is Yellowstone hotspot waning?’ </w:t>
      </w:r>
      <w:r>
        <w:rPr>
          <w:i/>
          <w:iCs/>
          <w:color w:val="000000" w:themeColor="text1"/>
        </w:rPr>
        <w:t>Geology</w:t>
      </w:r>
      <w:r>
        <w:rPr>
          <w:color w:val="000000" w:themeColor="text1"/>
        </w:rPr>
        <w:t xml:space="preserve"> 48. </w:t>
      </w:r>
      <w:hyperlink r:id="rId8" w:tgtFrame="_blank" w:history="1">
        <w:r>
          <w:rPr>
            <w:rStyle w:val="Hyperlink"/>
            <w:color w:val="000000" w:themeColor="text1"/>
            <w:bdr w:val="none" w:sz="0" w:space="0" w:color="auto" w:frame="1"/>
          </w:rPr>
          <w:t>https://doi.org/10.1130/G47384.1</w:t>
        </w:r>
      </w:hyperlink>
      <w:r>
        <w:t xml:space="preserve"> </w:t>
      </w:r>
    </w:p>
    <w:p w14:paraId="50DE2A2F" w14:textId="77777777" w:rsidR="006429DB" w:rsidRDefault="006429DB" w:rsidP="006429DB">
      <w:pPr>
        <w:ind w:right="-283"/>
        <w:rPr>
          <w:rFonts w:cs="Times-Roman"/>
        </w:rPr>
      </w:pPr>
      <w:r>
        <w:rPr>
          <w:vertAlign w:val="superscript"/>
        </w:rPr>
        <w:t>4</w:t>
      </w:r>
      <w:r>
        <w:t>Andrews, G.D. M., Branney, M.J.</w:t>
      </w:r>
      <w:r>
        <w:rPr>
          <w:b/>
        </w:rPr>
        <w:t xml:space="preserve"> </w:t>
      </w:r>
      <w:r>
        <w:t>2011</w:t>
      </w:r>
      <w:r>
        <w:rPr>
          <w:b/>
        </w:rPr>
        <w:t xml:space="preserve">. </w:t>
      </w:r>
      <w:r>
        <w:t xml:space="preserve">Emplacement and </w:t>
      </w:r>
      <w:proofErr w:type="spellStart"/>
      <w:r>
        <w:t>rheomorphic</w:t>
      </w:r>
      <w:proofErr w:type="spellEnd"/>
      <w:r>
        <w:t xml:space="preserve"> deformation of a large rhyolitic ignimbrite: Grey’s Landing, southern Idaho. </w:t>
      </w:r>
      <w:r>
        <w:rPr>
          <w:i/>
        </w:rPr>
        <w:t>Geological Society of America, Bulletin</w:t>
      </w:r>
      <w:r>
        <w:t xml:space="preserve"> 123: 725-743.</w:t>
      </w:r>
      <w:r>
        <w:rPr>
          <w:rFonts w:cs="Times-Roman"/>
        </w:rPr>
        <w:t xml:space="preserve"> </w:t>
      </w:r>
      <w:proofErr w:type="spellStart"/>
      <w:r>
        <w:rPr>
          <w:rFonts w:cs="Times-Roman"/>
        </w:rPr>
        <w:t>doi</w:t>
      </w:r>
      <w:proofErr w:type="spellEnd"/>
      <w:r>
        <w:rPr>
          <w:rFonts w:cs="Times-Roman"/>
        </w:rPr>
        <w:t>: 10.1130/B30167.</w:t>
      </w:r>
    </w:p>
    <w:p w14:paraId="76053DC3" w14:textId="77777777" w:rsidR="006429DB" w:rsidRDefault="006429DB" w:rsidP="006429DB">
      <w:pPr>
        <w:spacing w:after="0" w:line="240" w:lineRule="auto"/>
        <w:ind w:right="-284"/>
      </w:pPr>
      <w:r>
        <w:rPr>
          <w:bCs/>
          <w:color w:val="000000" w:themeColor="text1"/>
          <w:vertAlign w:val="superscript"/>
        </w:rPr>
        <w:t>5</w:t>
      </w:r>
      <w:r>
        <w:t xml:space="preserve">Branney, M.J. and </w:t>
      </w:r>
      <w:proofErr w:type="spellStart"/>
      <w:r>
        <w:t>Kokelaar</w:t>
      </w:r>
      <w:proofErr w:type="spellEnd"/>
      <w:r>
        <w:t xml:space="preserve">, B.P., 2002. ‘Pyroclastic density currents and the sedimentation of ignimbrites’. </w:t>
      </w:r>
      <w:r>
        <w:rPr>
          <w:i/>
          <w:iCs/>
        </w:rPr>
        <w:t>Geological Society of London, Memoirs</w:t>
      </w:r>
      <w:r>
        <w:rPr>
          <w:i/>
        </w:rPr>
        <w:t xml:space="preserve"> </w:t>
      </w:r>
      <w:r>
        <w:t>27. pp. 152.</w:t>
      </w:r>
    </w:p>
    <w:p w14:paraId="421F693C" w14:textId="77777777" w:rsidR="006429DB" w:rsidRDefault="006429DB" w:rsidP="006429DB">
      <w:pPr>
        <w:spacing w:after="0" w:line="240" w:lineRule="auto"/>
        <w:ind w:left="567" w:right="-284" w:hanging="567"/>
      </w:pPr>
    </w:p>
    <w:p w14:paraId="4A150554" w14:textId="77777777" w:rsidR="006429DB" w:rsidRDefault="006429DB" w:rsidP="006429DB">
      <w:pPr>
        <w:ind w:right="-283"/>
        <w:rPr>
          <w:color w:val="000000" w:themeColor="text1"/>
        </w:rPr>
      </w:pPr>
      <w:r>
        <w:rPr>
          <w:color w:val="000000" w:themeColor="text1"/>
          <w:vertAlign w:val="superscript"/>
        </w:rPr>
        <w:t>6</w:t>
      </w:r>
      <w:r>
        <w:rPr>
          <w:color w:val="000000" w:themeColor="text1"/>
        </w:rPr>
        <w:t xml:space="preserve">Pearce, N.J.G. Westgate, J.A., Perkins, W.T., </w:t>
      </w:r>
      <w:proofErr w:type="spellStart"/>
      <w:r>
        <w:rPr>
          <w:color w:val="000000" w:themeColor="text1"/>
        </w:rPr>
        <w:t>Preece</w:t>
      </w:r>
      <w:proofErr w:type="spellEnd"/>
      <w:r>
        <w:rPr>
          <w:color w:val="000000" w:themeColor="text1"/>
        </w:rPr>
        <w:t xml:space="preserve">, S.J. 2003. The application of ICP-MS methods to tephrochronological problems. </w:t>
      </w:r>
      <w:r>
        <w:rPr>
          <w:i/>
          <w:iCs/>
          <w:color w:val="000000" w:themeColor="text1"/>
        </w:rPr>
        <w:t>Applied Geochemistry</w:t>
      </w:r>
      <w:r>
        <w:rPr>
          <w:color w:val="000000" w:themeColor="text1"/>
        </w:rPr>
        <w:t xml:space="preserve"> 19: pp. 289-322.</w:t>
      </w:r>
    </w:p>
    <w:p w14:paraId="237A3BE3" w14:textId="77777777" w:rsidR="00B24449" w:rsidRPr="00D1675B" w:rsidRDefault="00B24449" w:rsidP="00DC7AB5">
      <w:pPr>
        <w:pStyle w:val="NoSpacing"/>
        <w:rPr>
          <w:bCs/>
        </w:rPr>
      </w:pPr>
    </w:p>
    <w:p w14:paraId="55319800" w14:textId="77777777" w:rsidR="00B0544C" w:rsidRDefault="00B0544C" w:rsidP="00186CBA">
      <w:pPr>
        <w:ind w:left="1440" w:hanging="1440"/>
        <w:rPr>
          <w:b/>
        </w:rPr>
      </w:pPr>
    </w:p>
    <w:p w14:paraId="41C0050F" w14:textId="77777777" w:rsidR="00B0544C" w:rsidRDefault="00B0544C" w:rsidP="00186CBA">
      <w:pPr>
        <w:ind w:left="1440" w:hanging="1440"/>
        <w:rPr>
          <w:b/>
        </w:rPr>
      </w:pPr>
    </w:p>
    <w:p w14:paraId="23583B2C" w14:textId="6AA11C1A" w:rsidR="00B90549" w:rsidRDefault="00186CBA" w:rsidP="00186CBA">
      <w:pPr>
        <w:ind w:left="1440" w:hanging="1440"/>
        <w:rPr>
          <w:b/>
        </w:rPr>
      </w:pPr>
      <w:r w:rsidRPr="00D1675B">
        <w:rPr>
          <w:b/>
        </w:rPr>
        <w:lastRenderedPageBreak/>
        <w:t>Funding</w:t>
      </w:r>
      <w:r w:rsidR="00BB2974" w:rsidRPr="00D1675B">
        <w:rPr>
          <w:b/>
        </w:rPr>
        <w:t xml:space="preserve"> details</w:t>
      </w:r>
      <w:r w:rsidRPr="00D1675B">
        <w:rPr>
          <w:b/>
        </w:rPr>
        <w:t>:</w:t>
      </w:r>
      <w:r w:rsidR="00797C94" w:rsidRPr="00D1675B">
        <w:rPr>
          <w:b/>
        </w:rPr>
        <w:t xml:space="preserve"> </w:t>
      </w:r>
    </w:p>
    <w:p w14:paraId="0AE2DA4F"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3BDDBB93"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4471DD0E"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2F055099" w14:textId="77777777" w:rsidR="00B0544C" w:rsidRDefault="00B0544C" w:rsidP="00B0544C">
      <w:bookmarkStart w:id="0" w:name="_Hlk117154148"/>
      <w:bookmarkStart w:id="1" w:name="_Hlk117157058"/>
      <w:bookmarkStart w:id="2" w:name="_Hlk117157281"/>
      <w:r>
        <w:t>* If you do not meet the criteria for UK Fees you will need to fund the difference between UK and International fees for the duration of your studies.</w:t>
      </w:r>
    </w:p>
    <w:p w14:paraId="79F1BD45" w14:textId="77777777" w:rsidR="00B0544C" w:rsidRDefault="00B0544C" w:rsidP="00B0544C">
      <w:r>
        <w:t>* A limited number of top up studentships to fund the difference between UK and International fees may become available but are not guaranteed</w:t>
      </w:r>
      <w:bookmarkEnd w:id="1"/>
      <w:r>
        <w:t>.</w:t>
      </w:r>
    </w:p>
    <w:bookmarkEnd w:id="0"/>
    <w:p w14:paraId="49F6E90A" w14:textId="77777777" w:rsidR="00B0544C" w:rsidRDefault="00B0544C" w:rsidP="00B0544C">
      <w:r>
        <w:t xml:space="preserve">For more details of the CENTA consortium please see the CENTA website: </w:t>
      </w:r>
      <w:hyperlink r:id="rId9" w:history="1">
        <w:r w:rsidRPr="009B5F50">
          <w:rPr>
            <w:rStyle w:val="Hyperlink"/>
          </w:rPr>
          <w:t>www.centa.org.uk</w:t>
        </w:r>
      </w:hyperlink>
      <w:r>
        <w:t xml:space="preserve"> . </w:t>
      </w:r>
    </w:p>
    <w:p w14:paraId="205710E8" w14:textId="77777777" w:rsidR="00B0544C" w:rsidRPr="00D1675B" w:rsidRDefault="00B0544C" w:rsidP="00B0544C">
      <w:pPr>
        <w:spacing w:after="0" w:line="240" w:lineRule="auto"/>
        <w:rPr>
          <w:b/>
        </w:rPr>
      </w:pPr>
      <w:r w:rsidRPr="00D1675B">
        <w:rPr>
          <w:b/>
        </w:rPr>
        <w:t>Entry requirements:</w:t>
      </w:r>
    </w:p>
    <w:p w14:paraId="473059D1" w14:textId="77777777" w:rsidR="00B0544C" w:rsidRPr="00D1675B" w:rsidRDefault="00B0544C" w:rsidP="00B0544C">
      <w:r w:rsidRPr="00D1675B">
        <w:t>Applicants are required to hold/or expect to obtain a UK Bachelor Degree 2:1 or better in a relevant subject</w:t>
      </w:r>
      <w:r>
        <w:t xml:space="preserve"> or overseas equivalent.</w:t>
      </w:r>
    </w:p>
    <w:p w14:paraId="24F26FFC" w14:textId="77777777" w:rsidR="00B0544C" w:rsidRPr="001A22DD" w:rsidRDefault="00B0544C" w:rsidP="00B0544C">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03BECDD9" w14:textId="77777777" w:rsidR="00B0544C" w:rsidRDefault="00B0544C" w:rsidP="00B0544C">
      <w:pPr>
        <w:ind w:left="1440" w:hanging="1440"/>
        <w:rPr>
          <w:b/>
        </w:rPr>
      </w:pPr>
    </w:p>
    <w:p w14:paraId="49EBB341" w14:textId="77777777" w:rsidR="00B0544C" w:rsidRPr="00D1675B" w:rsidRDefault="00B0544C" w:rsidP="00B0544C">
      <w:pPr>
        <w:ind w:left="1440" w:hanging="1440"/>
        <w:rPr>
          <w:b/>
        </w:rPr>
      </w:pPr>
      <w:bookmarkStart w:id="3" w:name="_Hlk117156448"/>
      <w:r>
        <w:rPr>
          <w:b/>
        </w:rPr>
        <w:t>Application advice:</w:t>
      </w:r>
    </w:p>
    <w:p w14:paraId="7248B201" w14:textId="77777777" w:rsidR="00B0544C" w:rsidRDefault="00B0544C" w:rsidP="00B0544C">
      <w:bookmarkStart w:id="4" w:name="_Hlk117154174"/>
      <w:r w:rsidRPr="00D1675B">
        <w:t xml:space="preserve">To apply please refer to </w:t>
      </w:r>
    </w:p>
    <w:p w14:paraId="69E1D80E" w14:textId="77777777" w:rsidR="00B0544C" w:rsidRDefault="00B0544C" w:rsidP="00B0544C">
      <w:hyperlink r:id="rId11" w:history="1">
        <w:r w:rsidRPr="009B5F50">
          <w:rPr>
            <w:rStyle w:val="Hyperlink"/>
          </w:rPr>
          <w:t>https://le.ac.uk/study/research-degrees/funded-opportunities/centa-phd-studentships</w:t>
        </w:r>
      </w:hyperlink>
    </w:p>
    <w:p w14:paraId="182A8F7E" w14:textId="77777777" w:rsidR="00B0544C" w:rsidRPr="00686A5A" w:rsidRDefault="00B0544C" w:rsidP="00B0544C">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33CF98A9" w14:textId="77777777" w:rsidR="00B0544C" w:rsidRDefault="00B0544C" w:rsidP="00B0544C">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bookmarkEnd w:id="4"/>
    <w:p w14:paraId="407AB79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3EE0FCDC"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58514CD3"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41FD30BD"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2943A6B1"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235E9A96" w14:textId="77777777" w:rsidR="00D1675B" w:rsidRPr="006429DB"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be </w:t>
      </w:r>
      <w:r w:rsidR="00E7657A" w:rsidRPr="006429DB">
        <w:rPr>
          <w:rFonts w:eastAsia="Times New Roman" w:cstheme="minorHAnsi"/>
          <w:color w:val="3C3C3C"/>
          <w:lang w:eastAsia="en-GB"/>
        </w:rPr>
        <w:t xml:space="preserve">considered for </w:t>
      </w:r>
      <w:r w:rsidR="006429DB" w:rsidRPr="006429DB">
        <w:rPr>
          <w:rFonts w:eastAsia="Times New Roman" w:cstheme="minorHAnsi"/>
          <w:color w:val="FF0000"/>
          <w:lang w:eastAsia="en-GB"/>
        </w:rPr>
        <w:t>Ref CENTA2-SGGE10-BRAN</w:t>
      </w:r>
    </w:p>
    <w:p w14:paraId="7F5D2E80" w14:textId="77777777" w:rsidR="00BD3138" w:rsidRPr="006429DB" w:rsidRDefault="00BD3138" w:rsidP="00BD3138">
      <w:pPr>
        <w:shd w:val="clear" w:color="auto" w:fill="FFFFFF"/>
        <w:spacing w:after="0" w:line="240" w:lineRule="auto"/>
        <w:rPr>
          <w:rFonts w:eastAsia="Times New Roman" w:cstheme="minorHAnsi"/>
          <w:color w:val="3C3C3C"/>
          <w:shd w:val="clear" w:color="auto" w:fill="FFFFFF"/>
          <w:lang w:eastAsia="en-GB"/>
        </w:rPr>
      </w:pPr>
    </w:p>
    <w:p w14:paraId="34CDE5AD" w14:textId="77777777" w:rsidR="00D1675B" w:rsidRPr="006429DB" w:rsidRDefault="00D1675B" w:rsidP="00BD3138">
      <w:pPr>
        <w:shd w:val="clear" w:color="auto" w:fill="FFFFFF"/>
        <w:spacing w:after="0" w:line="240" w:lineRule="auto"/>
        <w:rPr>
          <w:rFonts w:eastAsia="Times New Roman" w:cstheme="minorHAnsi"/>
          <w:color w:val="3C3C3C"/>
          <w:lang w:eastAsia="en-GB"/>
        </w:rPr>
      </w:pPr>
      <w:r w:rsidRPr="006429DB">
        <w:rPr>
          <w:rFonts w:eastAsia="Times New Roman" w:cstheme="minorHAnsi"/>
          <w:color w:val="3C3C3C"/>
          <w:shd w:val="clear" w:color="auto" w:fill="FFFFFF"/>
          <w:lang w:eastAsia="en-GB"/>
        </w:rPr>
        <w:t>In the proposal section please provide the name of the supervisors and project title (a proposal is not required)</w:t>
      </w:r>
    </w:p>
    <w:p w14:paraId="59F0FD61" w14:textId="77777777" w:rsidR="00686A5A" w:rsidRPr="006429DB" w:rsidRDefault="00686A5A" w:rsidP="00186CBA">
      <w:pPr>
        <w:rPr>
          <w:rFonts w:cstheme="minorHAnsi"/>
          <w:color w:val="FF0000"/>
        </w:rPr>
      </w:pPr>
    </w:p>
    <w:p w14:paraId="0D3562C9" w14:textId="6D8AF0CE" w:rsidR="00DC7AB5" w:rsidRPr="00D1675B" w:rsidRDefault="00FD74CF" w:rsidP="00DC7AB5">
      <w:pPr>
        <w:jc w:val="both"/>
        <w:rPr>
          <w:rFonts w:cstheme="minorHAnsi"/>
        </w:rPr>
      </w:pPr>
      <w:r w:rsidRPr="006429DB">
        <w:rPr>
          <w:rFonts w:cstheme="minorHAnsi"/>
          <w:b/>
        </w:rPr>
        <w:t xml:space="preserve">Project / Funding </w:t>
      </w:r>
      <w:r w:rsidR="00186CBA" w:rsidRPr="006429DB">
        <w:rPr>
          <w:rFonts w:cstheme="minorHAnsi"/>
          <w:b/>
        </w:rPr>
        <w:t>Enquiries</w:t>
      </w:r>
      <w:r w:rsidR="008B235E" w:rsidRPr="006429DB">
        <w:rPr>
          <w:rFonts w:cstheme="minorHAnsi"/>
          <w:b/>
        </w:rPr>
        <w:t xml:space="preserve"> to</w:t>
      </w:r>
      <w:r w:rsidR="00186CBA" w:rsidRPr="006429DB">
        <w:rPr>
          <w:rFonts w:cstheme="minorHAnsi"/>
          <w:b/>
        </w:rPr>
        <w:t>:</w:t>
      </w:r>
      <w:r w:rsidR="00DC7AB5" w:rsidRPr="006429DB">
        <w:rPr>
          <w:rFonts w:cstheme="minorHAnsi"/>
          <w:b/>
        </w:rPr>
        <w:t xml:space="preserve"> </w:t>
      </w:r>
      <w:hyperlink r:id="rId12" w:history="1">
        <w:r w:rsidR="001A22DD" w:rsidRPr="006429DB">
          <w:rPr>
            <w:rStyle w:val="Hyperlink"/>
            <w:rFonts w:cstheme="minorHAnsi"/>
            <w:b/>
          </w:rPr>
          <w:t>CENTA@le.ac.uk</w:t>
        </w:r>
      </w:hyperlink>
      <w:r w:rsidR="001A22DD" w:rsidRPr="006429DB">
        <w:rPr>
          <w:rFonts w:cstheme="minorHAnsi"/>
          <w:b/>
        </w:rPr>
        <w:t xml:space="preserve"> or </w:t>
      </w:r>
      <w:hyperlink r:id="rId13" w:history="1">
        <w:r w:rsidR="00B0544C" w:rsidRPr="00B129C4">
          <w:rPr>
            <w:rStyle w:val="Hyperlink"/>
            <w:b/>
          </w:rPr>
          <w:t>mjb26@le.ac.uk</w:t>
        </w:r>
      </w:hyperlink>
      <w:r w:rsidR="00B0544C">
        <w:rPr>
          <w:b/>
          <w:color w:val="000000" w:themeColor="text1"/>
        </w:rPr>
        <w:t xml:space="preserve"> </w:t>
      </w:r>
    </w:p>
    <w:p w14:paraId="541B65C0" w14:textId="77777777" w:rsidR="00186CBA" w:rsidRDefault="00FD74CF" w:rsidP="00186CBA">
      <w:pPr>
        <w:rPr>
          <w:b/>
        </w:rPr>
      </w:pPr>
      <w:r w:rsidRPr="00D1675B">
        <w:rPr>
          <w:rFonts w:cstheme="minorHAnsi"/>
          <w:b/>
        </w:rPr>
        <w:t xml:space="preserve">Application enquiries to </w:t>
      </w:r>
      <w:hyperlink r:id="rId14"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F525FD5" w14:textId="77777777" w:rsidTr="00B90549">
        <w:trPr>
          <w:tblCellSpacing w:w="0" w:type="dxa"/>
        </w:trPr>
        <w:tc>
          <w:tcPr>
            <w:tcW w:w="0" w:type="auto"/>
            <w:tcMar>
              <w:top w:w="0" w:type="dxa"/>
              <w:left w:w="150" w:type="dxa"/>
              <w:bottom w:w="0" w:type="dxa"/>
              <w:right w:w="0" w:type="dxa"/>
            </w:tcMar>
          </w:tcPr>
          <w:p w14:paraId="3A1B6173" w14:textId="77777777" w:rsidR="00B90549" w:rsidRPr="00B90549" w:rsidRDefault="00B90549" w:rsidP="00B90549">
            <w:pPr>
              <w:rPr>
                <w:b/>
              </w:rPr>
            </w:pPr>
          </w:p>
        </w:tc>
        <w:tc>
          <w:tcPr>
            <w:tcW w:w="0" w:type="auto"/>
          </w:tcPr>
          <w:p w14:paraId="4776456E" w14:textId="77777777" w:rsidR="00B90549" w:rsidRPr="00B90549" w:rsidRDefault="00B90549" w:rsidP="00B90549">
            <w:pPr>
              <w:rPr>
                <w:b/>
              </w:rPr>
            </w:pPr>
          </w:p>
        </w:tc>
      </w:tr>
    </w:tbl>
    <w:p w14:paraId="3633442C"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LT Std">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30074"/>
    <w:rsid w:val="003A7DE6"/>
    <w:rsid w:val="003E3E31"/>
    <w:rsid w:val="004C2F09"/>
    <w:rsid w:val="005F7F9C"/>
    <w:rsid w:val="006429DB"/>
    <w:rsid w:val="00686A5A"/>
    <w:rsid w:val="00797C94"/>
    <w:rsid w:val="008862CC"/>
    <w:rsid w:val="0089276A"/>
    <w:rsid w:val="008B235E"/>
    <w:rsid w:val="00934C02"/>
    <w:rsid w:val="00A5584E"/>
    <w:rsid w:val="00B0544C"/>
    <w:rsid w:val="00B24449"/>
    <w:rsid w:val="00B90549"/>
    <w:rsid w:val="00BB2974"/>
    <w:rsid w:val="00BD3138"/>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5EA3"/>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29DB"/>
    <w:pPr>
      <w:widowControl w:val="0"/>
      <w:autoSpaceDE w:val="0"/>
      <w:autoSpaceDN w:val="0"/>
      <w:adjustRightInd w:val="0"/>
      <w:spacing w:after="0" w:line="240" w:lineRule="auto"/>
    </w:pPr>
    <w:rPr>
      <w:rFonts w:ascii="Times LT Std" w:hAnsi="Times LT Std" w:cs="Times LT Std"/>
      <w:color w:val="000000"/>
      <w:sz w:val="24"/>
      <w:szCs w:val="24"/>
      <w:lang w:val="en-US"/>
    </w:rPr>
  </w:style>
  <w:style w:type="character" w:customStyle="1" w:styleId="A7">
    <w:name w:val="A7"/>
    <w:uiPriority w:val="99"/>
    <w:rsid w:val="006429DB"/>
    <w:rPr>
      <w:rFonts w:ascii="Times LT Std" w:hAnsi="Times LT Std" w:cs="Times LT Std" w:hint="default"/>
      <w:b/>
      <w:bCs/>
      <w:color w:val="000000"/>
      <w:sz w:val="10"/>
      <w:szCs w:val="10"/>
    </w:rPr>
  </w:style>
  <w:style w:type="character" w:styleId="UnresolvedMention">
    <w:name w:val="Unresolved Mention"/>
    <w:basedOn w:val="DefaultParagraphFont"/>
    <w:uiPriority w:val="99"/>
    <w:semiHidden/>
    <w:unhideWhenUsed/>
    <w:rsid w:val="00B05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18159">
      <w:bodyDiv w:val="1"/>
      <w:marLeft w:val="0"/>
      <w:marRight w:val="0"/>
      <w:marTop w:val="0"/>
      <w:marBottom w:val="0"/>
      <w:divBdr>
        <w:top w:val="none" w:sz="0" w:space="0" w:color="auto"/>
        <w:left w:val="none" w:sz="0" w:space="0" w:color="auto"/>
        <w:bottom w:val="none" w:sz="0" w:space="0" w:color="auto"/>
        <w:right w:val="none" w:sz="0" w:space="0" w:color="auto"/>
      </w:divBdr>
    </w:div>
    <w:div w:id="1701198754">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 w:id="20918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0/G47384.1" TargetMode="External"/><Relationship Id="rId13" Type="http://schemas.openxmlformats.org/officeDocument/2006/relationships/hyperlink" Target="mailto:mjb26@le.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jb26@le.ac.uk" TargetMode="External"/><Relationship Id="rId11" Type="http://schemas.openxmlformats.org/officeDocument/2006/relationships/hyperlink" Target="https://le.ac.uk/study/research-degrees/funded-opportunities/centa-phd-student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http://www.centa.org.uk" TargetMode="External"/><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CBE5-8A28-4173-95A3-3C736357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2022-10-20T10:37:00Z</dcterms:modified>
</cp:coreProperties>
</file>