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5A4E" w14:textId="5AE12746" w:rsidR="00066C81" w:rsidRPr="00B0669E" w:rsidRDefault="00B0669E" w:rsidP="00066C81">
      <w:pPr>
        <w:spacing w:after="0" w:line="240" w:lineRule="auto"/>
        <w:rPr>
          <w:b/>
          <w:bCs/>
        </w:rPr>
      </w:pPr>
      <w:r w:rsidRPr="00B0669E">
        <w:rPr>
          <w:b/>
          <w:bCs/>
        </w:rPr>
        <w:t>University of Leicester</w:t>
      </w:r>
    </w:p>
    <w:p w14:paraId="0AAC7E9A" w14:textId="77777777" w:rsidR="00B0669E" w:rsidRDefault="00B0669E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58D64656" w14:textId="77777777" w:rsidTr="061203E0">
        <w:tc>
          <w:tcPr>
            <w:tcW w:w="3227" w:type="dxa"/>
            <w:shd w:val="clear" w:color="auto" w:fill="F2F2F2" w:themeFill="background1" w:themeFillShade="F2"/>
          </w:tcPr>
          <w:p w14:paraId="141A465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4F0A4A6E" w14:textId="11245692" w:rsidR="00066C81" w:rsidRPr="00066C81" w:rsidRDefault="00A84365" w:rsidP="061203E0">
            <w:pPr>
              <w:spacing w:line="259" w:lineRule="auto"/>
            </w:pPr>
            <w:r>
              <w:t xml:space="preserve">BRC </w:t>
            </w:r>
            <w:r w:rsidR="62DFE477" w:rsidRPr="061203E0">
              <w:rPr>
                <w:color w:val="000000" w:themeColor="text1"/>
              </w:rPr>
              <w:t>Studentships</w:t>
            </w:r>
          </w:p>
        </w:tc>
      </w:tr>
    </w:tbl>
    <w:p w14:paraId="2F552C0E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75AE8DCB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187F49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7C041F2" w14:textId="4860284A" w:rsidR="00066C81" w:rsidRPr="00066C81" w:rsidRDefault="00CC3EB4" w:rsidP="00066C81">
            <w:r>
              <w:rPr>
                <w:rStyle w:val="normaltextrun"/>
                <w:sz w:val="21"/>
                <w:szCs w:val="21"/>
                <w:bdr w:val="none" w:sz="0" w:space="0" w:color="auto" w:frame="1"/>
              </w:rPr>
              <w:t>​Dr Katy Roach</w:t>
            </w:r>
          </w:p>
        </w:tc>
      </w:tr>
      <w:tr w:rsidR="00066C81" w:rsidRPr="00066C81" w14:paraId="62BA6F73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44829D6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61DC7D29" w14:textId="1497F81C" w:rsidR="00066C81" w:rsidRPr="00066C81" w:rsidRDefault="00CC3EB4" w:rsidP="00066C81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Respiratory Sciences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A84365" w:rsidRPr="00066C81" w14:paraId="0708F96B" w14:textId="77777777" w:rsidTr="004955D3">
        <w:tc>
          <w:tcPr>
            <w:tcW w:w="3227" w:type="dxa"/>
            <w:shd w:val="clear" w:color="auto" w:fill="F2F2F2" w:themeFill="background1" w:themeFillShade="F2"/>
          </w:tcPr>
          <w:p w14:paraId="25527BA6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A764A30" w14:textId="070D42B9" w:rsidR="00A84365" w:rsidRPr="00066C81" w:rsidRDefault="00CC3EB4" w:rsidP="00066C81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hyperlink r:id="rId8" w:history="1">
              <w:r w:rsidR="008D658D" w:rsidRPr="00AE7DE0">
                <w:rPr>
                  <w:rStyle w:val="Hyperlink"/>
                  <w:sz w:val="21"/>
                  <w:szCs w:val="21"/>
                  <w:shd w:val="clear" w:color="auto" w:fill="FFFFFF"/>
                </w:rPr>
                <w:t>kmr11@le.ac.uk</w:t>
              </w:r>
            </w:hyperlink>
            <w:r w:rsidR="008D658D"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7E553983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1C40C05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68C46E9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6E8916E8" w14:textId="33521DDD" w:rsidR="00066C81" w:rsidRDefault="00CC3EB4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Prof. Peter Bradding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14:paraId="147DA61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B1E849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CD28D25" w14:textId="75831127" w:rsidR="00066C81" w:rsidRDefault="00CC3EB4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University of Leicester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A84365" w14:paraId="5C5F8BEE" w14:textId="77777777" w:rsidTr="000E23E5">
        <w:tc>
          <w:tcPr>
            <w:tcW w:w="3256" w:type="dxa"/>
            <w:shd w:val="clear" w:color="auto" w:fill="F2F2F2" w:themeFill="background1" w:themeFillShade="F2"/>
          </w:tcPr>
          <w:p w14:paraId="3358F461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3E8FDDB" w14:textId="6B2F9A70" w:rsidR="00A84365" w:rsidRDefault="00CC3EB4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hyperlink r:id="rId9" w:history="1">
              <w:r w:rsidR="008D658D" w:rsidRPr="00AE7DE0">
                <w:rPr>
                  <w:rStyle w:val="Hyperlink"/>
                  <w:sz w:val="21"/>
                  <w:szCs w:val="21"/>
                  <w:shd w:val="clear" w:color="auto" w:fill="FFFFFF"/>
                </w:rPr>
                <w:t>pb46@le.ac.uk</w:t>
              </w:r>
            </w:hyperlink>
            <w:r w:rsidR="008D658D"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58880D57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D26F59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674A15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735D6AAD" w14:textId="0B441A82" w:rsidR="00066C81" w:rsidRDefault="00CC3EB4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Dr Harv</w:t>
            </w:r>
            <w:r w:rsidR="00E034B1">
              <w:rPr>
                <w:rStyle w:val="normaltextrun"/>
                <w:sz w:val="21"/>
                <w:szCs w:val="21"/>
                <w:shd w:val="clear" w:color="auto" w:fill="FFFFFF"/>
              </w:rPr>
              <w:t>inder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Virk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14:paraId="610696F3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54D9DE83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066C81" w14:paraId="7614B409" w14:textId="77777777" w:rsidTr="61B69672">
        <w:tc>
          <w:tcPr>
            <w:tcW w:w="2995" w:type="dxa"/>
            <w:shd w:val="clear" w:color="auto" w:fill="F2F2F2" w:themeFill="background1" w:themeFillShade="F2"/>
          </w:tcPr>
          <w:p w14:paraId="453A398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BEE0FD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5990" w:type="dxa"/>
            <w:gridSpan w:val="2"/>
          </w:tcPr>
          <w:p w14:paraId="66CA3308" w14:textId="2C651BCA" w:rsidR="00066C81" w:rsidRDefault="00CC3EB4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 w:rsidR="008D658D">
              <w:rPr>
                <w:rStyle w:val="normaltextrun"/>
              </w:rPr>
              <w:t xml:space="preserve"> </w:t>
            </w:r>
          </w:p>
        </w:tc>
      </w:tr>
      <w:tr w:rsidR="00066C81" w14:paraId="2503C890" w14:textId="77777777" w:rsidTr="61B69672">
        <w:tc>
          <w:tcPr>
            <w:tcW w:w="2995" w:type="dxa"/>
            <w:vMerge w:val="restart"/>
            <w:shd w:val="clear" w:color="auto" w:fill="F2F2F2" w:themeFill="background1" w:themeFillShade="F2"/>
          </w:tcPr>
          <w:p w14:paraId="134BC05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5C1DD7CA" w14:textId="77777777" w:rsidR="00066C81" w:rsidRDefault="00066C81" w:rsidP="00ED69E6">
            <w:r>
              <w:t>1.</w:t>
            </w:r>
          </w:p>
        </w:tc>
        <w:tc>
          <w:tcPr>
            <w:tcW w:w="2995" w:type="dxa"/>
          </w:tcPr>
          <w:p w14:paraId="7FEC3D97" w14:textId="39E0D741" w:rsidR="00066C81" w:rsidRDefault="00E03576" w:rsidP="00ED69E6">
            <w:r>
              <w:t>TRP channels</w:t>
            </w:r>
            <w:r w:rsidRPr="00E03576">
              <w:t xml:space="preserve"> in human lung fibrosis  </w:t>
            </w:r>
          </w:p>
        </w:tc>
      </w:tr>
      <w:tr w:rsidR="00066C81" w14:paraId="0ED3CAC5" w14:textId="77777777" w:rsidTr="61B69672">
        <w:tc>
          <w:tcPr>
            <w:tcW w:w="2995" w:type="dxa"/>
            <w:vMerge/>
          </w:tcPr>
          <w:p w14:paraId="1D31F5C9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14:paraId="20AEDFB6" w14:textId="77777777" w:rsidR="00066C81" w:rsidRDefault="00066C81" w:rsidP="00ED69E6">
            <w:r>
              <w:t>2.</w:t>
            </w:r>
          </w:p>
        </w:tc>
        <w:tc>
          <w:tcPr>
            <w:tcW w:w="2995" w:type="dxa"/>
          </w:tcPr>
          <w:p w14:paraId="6FC90BBA" w14:textId="67AE025B" w:rsidR="00066C81" w:rsidRDefault="00E03576" w:rsidP="00ED69E6">
            <w:r>
              <w:t>Ion channels as therapeutic targets</w:t>
            </w:r>
          </w:p>
        </w:tc>
      </w:tr>
      <w:tr w:rsidR="00066C81" w14:paraId="5BF3F8A4" w14:textId="77777777" w:rsidTr="61B69672">
        <w:tc>
          <w:tcPr>
            <w:tcW w:w="2995" w:type="dxa"/>
            <w:vMerge/>
          </w:tcPr>
          <w:p w14:paraId="6E16A621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14:paraId="75F03386" w14:textId="77777777" w:rsidR="00066C81" w:rsidRDefault="00066C81" w:rsidP="00ED69E6">
            <w:r>
              <w:t>3.</w:t>
            </w:r>
          </w:p>
        </w:tc>
        <w:tc>
          <w:tcPr>
            <w:tcW w:w="2995" w:type="dxa"/>
          </w:tcPr>
          <w:p w14:paraId="1AF59F7B" w14:textId="1FE2A1CE" w:rsidR="00066C81" w:rsidRDefault="00E03576" w:rsidP="00ED69E6">
            <w:r>
              <w:t>Treatments for IPF</w:t>
            </w:r>
          </w:p>
        </w:tc>
      </w:tr>
      <w:tr w:rsidR="00066C81" w14:paraId="5E9D4AA3" w14:textId="77777777" w:rsidTr="61B69672">
        <w:tc>
          <w:tcPr>
            <w:tcW w:w="8985" w:type="dxa"/>
            <w:gridSpan w:val="3"/>
            <w:shd w:val="clear" w:color="auto" w:fill="F2F2F2" w:themeFill="background1" w:themeFillShade="F2"/>
          </w:tcPr>
          <w:p w14:paraId="399685F1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45B09966" w14:textId="77777777" w:rsidTr="61B69672">
        <w:tc>
          <w:tcPr>
            <w:tcW w:w="8985" w:type="dxa"/>
            <w:gridSpan w:val="3"/>
          </w:tcPr>
          <w:p w14:paraId="20A0A01D" w14:textId="24784E53" w:rsidR="00066C81" w:rsidRPr="00E03576" w:rsidRDefault="00066C81" w:rsidP="00E03576">
            <w:pPr>
              <w:jc w:val="both"/>
              <w:rPr>
                <w:bCs/>
              </w:rPr>
            </w:pPr>
          </w:p>
          <w:p w14:paraId="544850AE" w14:textId="6913E2F6" w:rsidR="00E03576" w:rsidRDefault="00E03576" w:rsidP="00E03576">
            <w:pPr>
              <w:jc w:val="both"/>
              <w:rPr>
                <w:bCs/>
              </w:rPr>
            </w:pPr>
            <w:r w:rsidRPr="00E03576">
              <w:rPr>
                <w:bCs/>
              </w:rPr>
              <w:t xml:space="preserve">Idiopathic pulmonary fibrosis (IPF) is a progressive disease of unknown aetiology that leads to respiratory failure and death. Fifty percent of patients with IPF die within 3 years of diagnosis, an outcome worse than many cancers. Its incidence continues to rise by 10% annually with &gt;5000 incident cases per year currently in the UK. There are only two licensed treatments for IPF, pirfenidone and </w:t>
            </w:r>
            <w:proofErr w:type="spellStart"/>
            <w:r w:rsidRPr="00E03576">
              <w:rPr>
                <w:bCs/>
              </w:rPr>
              <w:t>nintedanib</w:t>
            </w:r>
            <w:proofErr w:type="spellEnd"/>
            <w:r w:rsidRPr="00E03576">
              <w:rPr>
                <w:bCs/>
              </w:rPr>
              <w:t xml:space="preserve">. Novel, more effective and better tolerated treatments are therefore required urgently to address this unmet clinical need. </w:t>
            </w:r>
          </w:p>
          <w:p w14:paraId="22F4DE8B" w14:textId="77777777" w:rsidR="00E03576" w:rsidRPr="00E03576" w:rsidRDefault="00E03576" w:rsidP="00E03576">
            <w:pPr>
              <w:jc w:val="both"/>
              <w:rPr>
                <w:bCs/>
              </w:rPr>
            </w:pPr>
          </w:p>
          <w:p w14:paraId="754C104E" w14:textId="3FE1619F" w:rsidR="00E03576" w:rsidRDefault="00E03576" w:rsidP="00E03576">
            <w:pPr>
              <w:jc w:val="both"/>
              <w:rPr>
                <w:bCs/>
              </w:rPr>
            </w:pPr>
            <w:r w:rsidRPr="00E03576">
              <w:rPr>
                <w:bCs/>
              </w:rPr>
              <w:t xml:space="preserve">TGFβ1-mediated myofibroblast activation contributes to pathological fibrosis in many diseases including idiopathic pulmonary fibrosis (IPF). Ca2+ signalling is necessary for diverse cellular activities including myofibroblast activation and pro-fibrotic functions. </w:t>
            </w:r>
            <w:r w:rsidR="004A7B7B">
              <w:rPr>
                <w:bCs/>
              </w:rPr>
              <w:t xml:space="preserve">Dr Roach’s group have identified various ion channels as potential therapeutics for </w:t>
            </w:r>
            <w:r w:rsidR="002C7E81">
              <w:rPr>
                <w:bCs/>
              </w:rPr>
              <w:t>IPF</w:t>
            </w:r>
            <w:r w:rsidR="004A7B7B">
              <w:rPr>
                <w:bCs/>
              </w:rPr>
              <w:t xml:space="preserve">. </w:t>
            </w:r>
            <w:r w:rsidR="004A7B7B" w:rsidRPr="004A7B7B">
              <w:rPr>
                <w:bCs/>
              </w:rPr>
              <w:t>Transient Receptor Potential (TRP) channels</w:t>
            </w:r>
            <w:r w:rsidR="004A7B7B">
              <w:rPr>
                <w:bCs/>
              </w:rPr>
              <w:t>, in particular,</w:t>
            </w:r>
            <w:r w:rsidRPr="00E03576">
              <w:rPr>
                <w:bCs/>
              </w:rPr>
              <w:t xml:space="preserve"> have recently been shown as the major Ca2+-permeable channel in human atrial fibroblasts, driving pro-fibrotic functions</w:t>
            </w:r>
            <w:r w:rsidR="004A7B7B">
              <w:rPr>
                <w:bCs/>
              </w:rPr>
              <w:t>.</w:t>
            </w:r>
          </w:p>
          <w:p w14:paraId="51160724" w14:textId="77777777" w:rsidR="00E03576" w:rsidRPr="00E03576" w:rsidRDefault="00E03576" w:rsidP="00E03576">
            <w:pPr>
              <w:jc w:val="both"/>
              <w:rPr>
                <w:bCs/>
              </w:rPr>
            </w:pPr>
          </w:p>
          <w:p w14:paraId="021A6C29" w14:textId="5364A5FA" w:rsidR="00E03576" w:rsidRDefault="00E03576" w:rsidP="00E03576">
            <w:pPr>
              <w:jc w:val="both"/>
              <w:rPr>
                <w:bCs/>
              </w:rPr>
            </w:pPr>
            <w:r w:rsidRPr="00E03576">
              <w:rPr>
                <w:bCs/>
              </w:rPr>
              <w:t>In this study we aim to examine TRP-mediated Ca2+ signal</w:t>
            </w:r>
            <w:r w:rsidR="002C7E81">
              <w:rPr>
                <w:bCs/>
              </w:rPr>
              <w:t>s</w:t>
            </w:r>
            <w:r w:rsidRPr="00E03576">
              <w:rPr>
                <w:bCs/>
              </w:rPr>
              <w:t xml:space="preserve"> for </w:t>
            </w:r>
            <w:r w:rsidR="002C7E81">
              <w:rPr>
                <w:bCs/>
              </w:rPr>
              <w:t>their</w:t>
            </w:r>
            <w:r w:rsidRPr="00E03576">
              <w:rPr>
                <w:bCs/>
              </w:rPr>
              <w:t xml:space="preserve"> effect on myofibroblast proliferation and differentiation from </w:t>
            </w:r>
            <w:r w:rsidR="002C7E81">
              <w:rPr>
                <w:bCs/>
              </w:rPr>
              <w:t>IPF</w:t>
            </w:r>
            <w:r w:rsidRPr="00E03576">
              <w:rPr>
                <w:bCs/>
              </w:rPr>
              <w:t xml:space="preserve"> patients.</w:t>
            </w:r>
          </w:p>
          <w:p w14:paraId="4B5B9AFA" w14:textId="77777777" w:rsidR="00E03576" w:rsidRPr="00E03576" w:rsidRDefault="00E03576" w:rsidP="00E03576">
            <w:pPr>
              <w:jc w:val="both"/>
              <w:rPr>
                <w:bCs/>
              </w:rPr>
            </w:pPr>
          </w:p>
          <w:p w14:paraId="4AB4230E" w14:textId="6DA92709" w:rsidR="00E03576" w:rsidRDefault="00E03576" w:rsidP="00E03576">
            <w:pPr>
              <w:jc w:val="both"/>
              <w:rPr>
                <w:bCs/>
              </w:rPr>
            </w:pPr>
            <w:r w:rsidRPr="00E03576">
              <w:rPr>
                <w:bCs/>
              </w:rPr>
              <w:t xml:space="preserve">Using our pool of myofibroblasts and paraffin embedded tissue from non-fibrotic and IPF donors we will examine the mRNA, protein and tissue expression of </w:t>
            </w:r>
            <w:r>
              <w:rPr>
                <w:bCs/>
              </w:rPr>
              <w:t>specific TRP channels</w:t>
            </w:r>
            <w:r w:rsidRPr="00E03576">
              <w:rPr>
                <w:bCs/>
              </w:rPr>
              <w:t xml:space="preserve"> at basal and following stimulation with TGFβ1 and TGFβ3. Using techniques such as patch clamp electrophysiology,</w:t>
            </w:r>
            <w:r w:rsidR="004A7B7B">
              <w:rPr>
                <w:bCs/>
              </w:rPr>
              <w:t xml:space="preserve"> cellular culture, RT-PCR, western blot assays,</w:t>
            </w:r>
            <w:r w:rsidRPr="00E03576">
              <w:rPr>
                <w:bCs/>
              </w:rPr>
              <w:t xml:space="preserve"> MTS assays</w:t>
            </w:r>
            <w:r w:rsidR="004A7B7B">
              <w:rPr>
                <w:bCs/>
              </w:rPr>
              <w:t xml:space="preserve"> and flow cytometry</w:t>
            </w:r>
            <w:r w:rsidRPr="00E03576">
              <w:rPr>
                <w:bCs/>
              </w:rPr>
              <w:t xml:space="preserve"> we will examine the functional role of </w:t>
            </w:r>
            <w:r w:rsidR="004A7B7B">
              <w:rPr>
                <w:bCs/>
              </w:rPr>
              <w:t>specific TRP channels</w:t>
            </w:r>
            <w:r w:rsidRPr="00E03576">
              <w:rPr>
                <w:bCs/>
              </w:rPr>
              <w:t xml:space="preserve"> in human lung myofibroblast. </w:t>
            </w:r>
          </w:p>
          <w:p w14:paraId="01B65667" w14:textId="77777777" w:rsidR="00E03576" w:rsidRPr="00E03576" w:rsidRDefault="00E03576" w:rsidP="00E03576">
            <w:pPr>
              <w:jc w:val="both"/>
              <w:rPr>
                <w:bCs/>
              </w:rPr>
            </w:pPr>
          </w:p>
          <w:p w14:paraId="366194AE" w14:textId="1C4B31DA" w:rsidR="00E03576" w:rsidRDefault="00E03576" w:rsidP="00E03576">
            <w:pPr>
              <w:jc w:val="both"/>
              <w:rPr>
                <w:bCs/>
              </w:rPr>
            </w:pPr>
            <w:r w:rsidRPr="00E03576">
              <w:rPr>
                <w:bCs/>
              </w:rPr>
              <w:t>In addition, we have established an ex-vivo human lung parenchymal model of TGFβ1-dependent fibrogenesis</w:t>
            </w:r>
            <w:r w:rsidR="004A7B7B">
              <w:rPr>
                <w:bCs/>
              </w:rPr>
              <w:t>.</w:t>
            </w:r>
            <w:r w:rsidRPr="00E03576">
              <w:rPr>
                <w:bCs/>
              </w:rPr>
              <w:t xml:space="preserve"> We aim to use the model to study TRP</w:t>
            </w:r>
            <w:r>
              <w:rPr>
                <w:bCs/>
              </w:rPr>
              <w:t xml:space="preserve"> channels</w:t>
            </w:r>
            <w:r w:rsidRPr="00E03576">
              <w:rPr>
                <w:bCs/>
              </w:rPr>
              <w:t xml:space="preserve"> but also to develop this model further by optimising lentiviral overexpression and knockdown constructs in human ex-vivo lung tissue.</w:t>
            </w:r>
          </w:p>
          <w:p w14:paraId="245E70EA" w14:textId="77777777" w:rsidR="00E03576" w:rsidRPr="00E03576" w:rsidRDefault="00E03576" w:rsidP="00E03576">
            <w:pPr>
              <w:jc w:val="both"/>
              <w:rPr>
                <w:bCs/>
              </w:rPr>
            </w:pPr>
          </w:p>
          <w:p w14:paraId="28043D4E" w14:textId="3EB4C598" w:rsidR="00066C81" w:rsidRPr="00E03576" w:rsidRDefault="00066C81" w:rsidP="004A7B7B"/>
        </w:tc>
      </w:tr>
      <w:tr w:rsidR="00C764B2" w14:paraId="7D71261E" w14:textId="77777777" w:rsidTr="61B69672">
        <w:tc>
          <w:tcPr>
            <w:tcW w:w="8985" w:type="dxa"/>
            <w:gridSpan w:val="3"/>
          </w:tcPr>
          <w:p w14:paraId="56DC16AB" w14:textId="0BC440CE" w:rsidR="00C764B2" w:rsidRDefault="00C764B2" w:rsidP="00ED69E6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14:paraId="02F6D2B1" w14:textId="77777777" w:rsidR="004A7B7B" w:rsidRDefault="004A7B7B" w:rsidP="00ED69E6">
            <w:pPr>
              <w:rPr>
                <w:b/>
              </w:rPr>
            </w:pPr>
          </w:p>
          <w:p w14:paraId="3C81ED29" w14:textId="77777777" w:rsidR="004A7B7B" w:rsidRPr="009C004B" w:rsidRDefault="004A7B7B" w:rsidP="004A7B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2A2A2A"/>
              </w:rPr>
            </w:pPr>
            <w:r>
              <w:rPr>
                <w:color w:val="2A2A2A"/>
              </w:rPr>
              <w:lastRenderedPageBreak/>
              <w:t xml:space="preserve">Virk HS, </w:t>
            </w:r>
            <w:r w:rsidRPr="00E76084">
              <w:rPr>
                <w:color w:val="2A2A2A"/>
              </w:rPr>
              <w:t>Biddle</w:t>
            </w:r>
            <w:r>
              <w:rPr>
                <w:color w:val="2A2A2A"/>
              </w:rPr>
              <w:t xml:space="preserve"> MS, </w:t>
            </w:r>
            <w:r w:rsidRPr="00E76084">
              <w:rPr>
                <w:color w:val="2A2A2A"/>
              </w:rPr>
              <w:t>Smallwood</w:t>
            </w:r>
            <w:r>
              <w:rPr>
                <w:color w:val="2A2A2A"/>
              </w:rPr>
              <w:t xml:space="preserve"> DT, </w:t>
            </w:r>
            <w:r w:rsidRPr="00E76084">
              <w:rPr>
                <w:color w:val="2A2A2A"/>
              </w:rPr>
              <w:t>Weston</w:t>
            </w:r>
            <w:r>
              <w:rPr>
                <w:color w:val="2A2A2A"/>
              </w:rPr>
              <w:t xml:space="preserve"> CA </w:t>
            </w:r>
            <w:r w:rsidRPr="00E76084">
              <w:rPr>
                <w:color w:val="2A2A2A"/>
              </w:rPr>
              <w:t>Castells</w:t>
            </w:r>
            <w:r>
              <w:rPr>
                <w:color w:val="2A2A2A"/>
              </w:rPr>
              <w:t xml:space="preserve"> E</w:t>
            </w:r>
            <w:r w:rsidRPr="00E76084">
              <w:rPr>
                <w:color w:val="2A2A2A"/>
              </w:rPr>
              <w:t xml:space="preserve">, </w:t>
            </w:r>
            <w:proofErr w:type="spellStart"/>
            <w:r w:rsidRPr="00E76084">
              <w:rPr>
                <w:color w:val="2A2A2A"/>
              </w:rPr>
              <w:t>Feghali</w:t>
            </w:r>
            <w:proofErr w:type="spellEnd"/>
            <w:r w:rsidRPr="00E76084">
              <w:rPr>
                <w:color w:val="2A2A2A"/>
              </w:rPr>
              <w:t>-Bostwick</w:t>
            </w:r>
            <w:r>
              <w:rPr>
                <w:color w:val="2A2A2A"/>
              </w:rPr>
              <w:t xml:space="preserve"> C, </w:t>
            </w:r>
            <w:r w:rsidRPr="00E76084">
              <w:rPr>
                <w:color w:val="2A2A2A"/>
              </w:rPr>
              <w:t>Bowman</w:t>
            </w:r>
            <w:r>
              <w:rPr>
                <w:color w:val="2A2A2A"/>
              </w:rPr>
              <w:t xml:space="preserve"> VW, </w:t>
            </w:r>
            <w:r w:rsidRPr="00E76084">
              <w:rPr>
                <w:color w:val="2A2A2A"/>
              </w:rPr>
              <w:t>McCarthy</w:t>
            </w:r>
            <w:r>
              <w:rPr>
                <w:color w:val="2A2A2A"/>
              </w:rPr>
              <w:t xml:space="preserve"> J</w:t>
            </w:r>
            <w:r w:rsidRPr="00E76084">
              <w:rPr>
                <w:color w:val="2A2A2A"/>
              </w:rPr>
              <w:t>, Amrani</w:t>
            </w:r>
            <w:r>
              <w:rPr>
                <w:color w:val="2A2A2A"/>
              </w:rPr>
              <w:t xml:space="preserve"> Y, </w:t>
            </w:r>
            <w:r w:rsidRPr="00E76084">
              <w:rPr>
                <w:color w:val="2A2A2A"/>
              </w:rPr>
              <w:t>Duffy SM, Bradding</w:t>
            </w:r>
            <w:r>
              <w:rPr>
                <w:color w:val="2A2A2A"/>
              </w:rPr>
              <w:t xml:space="preserve"> P, </w:t>
            </w:r>
            <w:r w:rsidRPr="001F4673">
              <w:rPr>
                <w:b/>
                <w:color w:val="2A2A2A"/>
              </w:rPr>
              <w:t>Roach KM</w:t>
            </w:r>
            <w:r>
              <w:rPr>
                <w:color w:val="2A2A2A"/>
              </w:rPr>
              <w:t>.</w:t>
            </w:r>
            <w:r w:rsidRPr="00E76084">
              <w:rPr>
                <w:color w:val="2A2A2A"/>
              </w:rPr>
              <w:t xml:space="preserve"> TGFβ1 induces resistance of human lung myofibroblasts to cell death via downregulation of TRPA1</w:t>
            </w:r>
            <w:r>
              <w:rPr>
                <w:color w:val="2A2A2A"/>
              </w:rPr>
              <w:t xml:space="preserve">. </w:t>
            </w:r>
            <w:r w:rsidRPr="001F4673">
              <w:rPr>
                <w:i/>
                <w:color w:val="2A2A2A"/>
              </w:rPr>
              <w:t xml:space="preserve">Br J </w:t>
            </w:r>
            <w:proofErr w:type="spellStart"/>
            <w:r w:rsidRPr="001F4673">
              <w:rPr>
                <w:i/>
                <w:color w:val="2A2A2A"/>
              </w:rPr>
              <w:t>Pharmacol</w:t>
            </w:r>
            <w:proofErr w:type="spellEnd"/>
            <w:r>
              <w:rPr>
                <w:color w:val="2A2A2A"/>
              </w:rPr>
              <w:t xml:space="preserve">, </w:t>
            </w:r>
            <w:r w:rsidRPr="00B82DBD">
              <w:rPr>
                <w:i/>
                <w:color w:val="2A2A2A"/>
              </w:rPr>
              <w:t>2021</w:t>
            </w:r>
            <w:r>
              <w:rPr>
                <w:i/>
                <w:color w:val="2A2A2A"/>
              </w:rPr>
              <w:t xml:space="preserve"> Mar, </w:t>
            </w:r>
            <w:proofErr w:type="spellStart"/>
            <w:r w:rsidRPr="00B82DBD">
              <w:rPr>
                <w:i/>
                <w:color w:val="2A2A2A"/>
              </w:rPr>
              <w:t>doi</w:t>
            </w:r>
            <w:proofErr w:type="spellEnd"/>
            <w:r w:rsidRPr="00B82DBD">
              <w:rPr>
                <w:i/>
                <w:color w:val="2A2A2A"/>
              </w:rPr>
              <w:t>: 10.1111/bph.15467.</w:t>
            </w:r>
          </w:p>
          <w:p w14:paraId="301CD5A4" w14:textId="77777777" w:rsidR="004A7B7B" w:rsidRPr="00B82DBD" w:rsidRDefault="004A7B7B" w:rsidP="004A7B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2A2A2A"/>
              </w:rPr>
            </w:pPr>
            <w:r w:rsidRPr="00B82DBD">
              <w:rPr>
                <w:b/>
                <w:color w:val="2A2A2A"/>
              </w:rPr>
              <w:t>Roach KM</w:t>
            </w:r>
            <w:r w:rsidRPr="00B82DBD">
              <w:rPr>
                <w:color w:val="2A2A2A"/>
              </w:rPr>
              <w:t>, Castells E</w:t>
            </w:r>
            <w:r>
              <w:rPr>
                <w:color w:val="2A2A2A"/>
              </w:rPr>
              <w:t>, Dixon</w:t>
            </w:r>
            <w:r w:rsidRPr="00B82DBD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K</w:t>
            </w:r>
            <w:r w:rsidRPr="00B82DBD">
              <w:rPr>
                <w:color w:val="2A2A2A"/>
              </w:rPr>
              <w:t xml:space="preserve">, Mason S, Elliott G, Marshall H, </w:t>
            </w:r>
            <w:proofErr w:type="spellStart"/>
            <w:r w:rsidRPr="00B82DBD">
              <w:rPr>
                <w:color w:val="2A2A2A"/>
              </w:rPr>
              <w:t>Poblocka</w:t>
            </w:r>
            <w:proofErr w:type="spellEnd"/>
            <w:r w:rsidRPr="00B82DBD">
              <w:rPr>
                <w:color w:val="2A2A2A"/>
              </w:rPr>
              <w:t xml:space="preserve"> MA,</w:t>
            </w:r>
            <w:r w:rsidRPr="00B82DBD">
              <w:t xml:space="preserve"> </w:t>
            </w:r>
            <w:r w:rsidRPr="00B82DBD">
              <w:rPr>
                <w:color w:val="2A2A2A"/>
              </w:rPr>
              <w:t xml:space="preserve">Macip S, Richardson M, </w:t>
            </w:r>
            <w:proofErr w:type="spellStart"/>
            <w:r w:rsidRPr="00B82DBD">
              <w:rPr>
                <w:color w:val="2A2A2A"/>
              </w:rPr>
              <w:t>Khalfaoui</w:t>
            </w:r>
            <w:proofErr w:type="spellEnd"/>
            <w:r w:rsidRPr="00B82DBD">
              <w:rPr>
                <w:color w:val="2A2A2A"/>
              </w:rPr>
              <w:t xml:space="preserve"> L, Bradding P</w:t>
            </w:r>
            <w:r>
              <w:rPr>
                <w:color w:val="2A2A2A"/>
              </w:rPr>
              <w:t xml:space="preserve">. </w:t>
            </w:r>
            <w:r w:rsidRPr="00B82DBD">
              <w:rPr>
                <w:color w:val="2A2A2A"/>
              </w:rPr>
              <w:t xml:space="preserve">Evaluation of pirfenidone and </w:t>
            </w:r>
            <w:proofErr w:type="spellStart"/>
            <w:r w:rsidRPr="00B82DBD">
              <w:rPr>
                <w:color w:val="2A2A2A"/>
              </w:rPr>
              <w:t>nintedanib</w:t>
            </w:r>
            <w:proofErr w:type="spellEnd"/>
            <w:r w:rsidRPr="00B82DBD">
              <w:rPr>
                <w:color w:val="2A2A2A"/>
              </w:rPr>
              <w:t xml:space="preserve"> in a human model of lung</w:t>
            </w:r>
            <w:r>
              <w:rPr>
                <w:color w:val="2A2A2A"/>
              </w:rPr>
              <w:t xml:space="preserve"> fibrosis. </w:t>
            </w:r>
            <w:r w:rsidRPr="00B82DBD">
              <w:rPr>
                <w:i/>
                <w:color w:val="2A2A2A"/>
              </w:rPr>
              <w:t>Frontiers in Pharmacology</w:t>
            </w:r>
            <w:r w:rsidRPr="005E60E9">
              <w:t xml:space="preserve"> </w:t>
            </w:r>
            <w:r w:rsidRPr="005E60E9">
              <w:rPr>
                <w:color w:val="2A2A2A"/>
              </w:rPr>
              <w:t>2021. 12(2805).</w:t>
            </w:r>
          </w:p>
          <w:p w14:paraId="6B94936C" w14:textId="0300E970" w:rsidR="004A7B7B" w:rsidRPr="004A7B7B" w:rsidRDefault="004A7B7B" w:rsidP="004A7B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A7B7B">
              <w:rPr>
                <w:b/>
              </w:rPr>
              <w:t xml:space="preserve">Roach KM., </w:t>
            </w:r>
            <w:r w:rsidRPr="004A7B7B">
              <w:rPr>
                <w:bCs/>
              </w:rPr>
              <w:t>Sutcliffe A., Matthews L., Elliott G., Newby C., Amrani Y, Bradding P. "A model of human lung fibrogenesis for the assessment of anti-fibrotic strategies in idiopathic pulmonary fibrosis." Sci Rep 2018; 8: 15.</w:t>
            </w:r>
          </w:p>
          <w:p w14:paraId="55082E20" w14:textId="77777777" w:rsidR="004A7B7B" w:rsidRPr="004A7B7B" w:rsidRDefault="004A7B7B" w:rsidP="004A7B7B">
            <w:pPr>
              <w:pStyle w:val="ListParagraph"/>
              <w:ind w:left="1080"/>
              <w:rPr>
                <w:b/>
              </w:rPr>
            </w:pPr>
          </w:p>
          <w:p w14:paraId="00158346" w14:textId="77777777" w:rsidR="004A7B7B" w:rsidRPr="009C004B" w:rsidRDefault="004A7B7B" w:rsidP="004A7B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2A2A2A"/>
              </w:rPr>
            </w:pPr>
            <w:r w:rsidRPr="009C004B">
              <w:rPr>
                <w:b/>
                <w:color w:val="2A2A2A"/>
              </w:rPr>
              <w:t>Roach KM</w:t>
            </w:r>
            <w:r w:rsidRPr="009C004B">
              <w:rPr>
                <w:color w:val="2A2A2A"/>
              </w:rPr>
              <w:t>, Bradding P. Ca 2+ signalling in fibroblasts and the therapeutic potential of K Ca 3.1 channel blockers in fibrotic diseases</w:t>
            </w:r>
            <w:r>
              <w:rPr>
                <w:color w:val="2A2A2A"/>
              </w:rPr>
              <w:t xml:space="preserve">. </w:t>
            </w:r>
            <w:r w:rsidRPr="001F4673">
              <w:rPr>
                <w:i/>
                <w:color w:val="2A2A2A"/>
              </w:rPr>
              <w:t xml:space="preserve">Br J </w:t>
            </w:r>
            <w:proofErr w:type="spellStart"/>
            <w:r w:rsidRPr="001F4673">
              <w:rPr>
                <w:i/>
                <w:color w:val="2A2A2A"/>
              </w:rPr>
              <w:t>Pharmacol</w:t>
            </w:r>
            <w:proofErr w:type="spellEnd"/>
            <w:r>
              <w:rPr>
                <w:color w:val="2A2A2A"/>
              </w:rPr>
              <w:t xml:space="preserve">, </w:t>
            </w:r>
            <w:r w:rsidRPr="00B82DBD">
              <w:rPr>
                <w:i/>
                <w:color w:val="2A2A2A"/>
              </w:rPr>
              <w:t>202</w:t>
            </w:r>
            <w:r>
              <w:rPr>
                <w:i/>
                <w:color w:val="2A2A2A"/>
              </w:rPr>
              <w:t xml:space="preserve">0 Mar;177(5):1003-1024. </w:t>
            </w:r>
          </w:p>
          <w:p w14:paraId="72C0E0CE" w14:textId="77777777" w:rsidR="004A7B7B" w:rsidRPr="004A7B7B" w:rsidRDefault="004A7B7B" w:rsidP="004A7B7B">
            <w:pPr>
              <w:pStyle w:val="ListParagraph"/>
              <w:ind w:left="1080"/>
              <w:rPr>
                <w:b/>
              </w:rPr>
            </w:pPr>
          </w:p>
          <w:p w14:paraId="47860608" w14:textId="77777777" w:rsidR="00C764B2" w:rsidRDefault="00C764B2" w:rsidP="00ED69E6">
            <w:pPr>
              <w:rPr>
                <w:b/>
              </w:rPr>
            </w:pPr>
          </w:p>
          <w:p w14:paraId="17BD79B2" w14:textId="77777777" w:rsidR="00C764B2" w:rsidRDefault="00C764B2" w:rsidP="00ED69E6">
            <w:pPr>
              <w:rPr>
                <w:b/>
              </w:rPr>
            </w:pPr>
          </w:p>
          <w:p w14:paraId="695BAFB8" w14:textId="7BA22DA1" w:rsidR="00C764B2" w:rsidRDefault="00C764B2" w:rsidP="00ED69E6">
            <w:pPr>
              <w:rPr>
                <w:b/>
              </w:rPr>
            </w:pPr>
          </w:p>
        </w:tc>
      </w:tr>
    </w:tbl>
    <w:p w14:paraId="22F9C382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2CE29D1" w14:textId="77777777" w:rsidR="00066C81" w:rsidRDefault="00066C81" w:rsidP="00066C81">
      <w:pPr>
        <w:spacing w:after="0" w:line="240" w:lineRule="auto"/>
      </w:pPr>
    </w:p>
    <w:p w14:paraId="1A271DBB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D06"/>
    <w:multiLevelType w:val="hybridMultilevel"/>
    <w:tmpl w:val="694E4C4C"/>
    <w:lvl w:ilvl="0" w:tplc="73F62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C5C"/>
    <w:multiLevelType w:val="multilevel"/>
    <w:tmpl w:val="612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95308"/>
    <w:multiLevelType w:val="multilevel"/>
    <w:tmpl w:val="4DA8B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25E5F"/>
    <w:multiLevelType w:val="multilevel"/>
    <w:tmpl w:val="582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435BE"/>
    <w:multiLevelType w:val="multilevel"/>
    <w:tmpl w:val="FBD82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511CE"/>
    <w:multiLevelType w:val="multilevel"/>
    <w:tmpl w:val="7F66E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96AB3"/>
    <w:multiLevelType w:val="hybridMultilevel"/>
    <w:tmpl w:val="E8E6523E"/>
    <w:lvl w:ilvl="0" w:tplc="81644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81"/>
    <w:rsid w:val="00066C81"/>
    <w:rsid w:val="002C7E81"/>
    <w:rsid w:val="004A7B7B"/>
    <w:rsid w:val="004F3026"/>
    <w:rsid w:val="008D658D"/>
    <w:rsid w:val="00A84365"/>
    <w:rsid w:val="00B0669E"/>
    <w:rsid w:val="00BB70D0"/>
    <w:rsid w:val="00C764B2"/>
    <w:rsid w:val="00CC3EB4"/>
    <w:rsid w:val="00E034B1"/>
    <w:rsid w:val="00E03576"/>
    <w:rsid w:val="061203E0"/>
    <w:rsid w:val="15680B99"/>
    <w:rsid w:val="61B69672"/>
    <w:rsid w:val="62DFE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9DA"/>
  <w15:docId w15:val="{8987C65E-49BA-42AE-9109-4176AA9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C3EB4"/>
  </w:style>
  <w:style w:type="character" w:customStyle="1" w:styleId="contentcontrolboundarysink">
    <w:name w:val="contentcontrolboundarysink"/>
    <w:basedOn w:val="DefaultParagraphFont"/>
    <w:rsid w:val="00CC3EB4"/>
  </w:style>
  <w:style w:type="paragraph" w:customStyle="1" w:styleId="paragraph">
    <w:name w:val="paragraph"/>
    <w:basedOn w:val="Normal"/>
    <w:rsid w:val="00C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CC3EB4"/>
  </w:style>
  <w:style w:type="paragraph" w:styleId="ListParagraph">
    <w:name w:val="List Paragraph"/>
    <w:basedOn w:val="Normal"/>
    <w:uiPriority w:val="34"/>
    <w:qFormat/>
    <w:rsid w:val="004A7B7B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4A7B7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auto"/>
      <w:szCs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A7B7B"/>
    <w:rPr>
      <w:rFonts w:ascii="Times New Roman" w:eastAsia="Times New Roman" w:hAnsi="Times New Roman" w:cs="Times New Roman"/>
      <w:noProof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6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11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b46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D09A1-79DF-47C9-97D6-7ECD8B8F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D7286-8CE5-4C88-9171-C3886B3E0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F68DC-1B2B-49D0-B2B0-088674AA8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White, Karen L.</cp:lastModifiedBy>
  <cp:revision>6</cp:revision>
  <dcterms:created xsi:type="dcterms:W3CDTF">2023-03-08T16:55:00Z</dcterms:created>
  <dcterms:modified xsi:type="dcterms:W3CDTF">2023-03-14T11:14:00Z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