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7774E093" w:rsidR="00066C81" w:rsidRPr="00AB3CD2" w:rsidRDefault="00AB3CD2" w:rsidP="00066C81">
      <w:pPr>
        <w:spacing w:after="0" w:line="240" w:lineRule="auto"/>
        <w:rPr>
          <w:b/>
          <w:bCs/>
        </w:rPr>
      </w:pPr>
      <w:r w:rsidRPr="00AB3CD2">
        <w:rPr>
          <w:b/>
          <w:bCs/>
        </w:rPr>
        <w:t xml:space="preserve">University of Leicester </w:t>
      </w:r>
    </w:p>
    <w:p w14:paraId="59D85612" w14:textId="77777777" w:rsidR="00AB3CD2" w:rsidRDefault="00AB3CD2"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19528E2E">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0FA229EF" w:rsidR="00066C81" w:rsidRPr="00066C81" w:rsidRDefault="00A84365" w:rsidP="19528E2E">
            <w:pPr>
              <w:spacing w:line="259" w:lineRule="auto"/>
            </w:pPr>
            <w:r>
              <w:t xml:space="preserve">BRC </w:t>
            </w:r>
            <w:r w:rsidR="73953A4D" w:rsidRPr="19528E2E">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7CCBA37B" w:rsidR="00066C81" w:rsidRPr="00066C81" w:rsidRDefault="000F6830" w:rsidP="00066C81">
            <w:r>
              <w:rPr>
                <w:rStyle w:val="normaltextrun"/>
                <w:sz w:val="21"/>
                <w:szCs w:val="21"/>
                <w:bdr w:val="none" w:sz="0" w:space="0" w:color="auto" w:frame="1"/>
              </w:rPr>
              <w:t>​Dr Richard Allen</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3B0CBE28" w:rsidR="00066C81" w:rsidRPr="00066C81" w:rsidRDefault="000F6830" w:rsidP="00066C81">
            <w:r>
              <w:rPr>
                <w:rStyle w:val="contentcontrolboundarysink"/>
                <w:sz w:val="21"/>
                <w:szCs w:val="21"/>
                <w:shd w:val="clear" w:color="auto" w:fill="FFFFFF"/>
              </w:rPr>
              <w:t>​</w:t>
            </w:r>
            <w:r>
              <w:rPr>
                <w:rStyle w:val="normaltextrun"/>
                <w:sz w:val="21"/>
                <w:szCs w:val="21"/>
                <w:shd w:val="clear" w:color="auto" w:fill="FFFFFF"/>
              </w:rPr>
              <w:t>Department of Population Health Sciences, University of Leicester</w:t>
            </w:r>
            <w:r>
              <w:rPr>
                <w:rStyle w:val="contentcontrolboundarysink"/>
                <w:sz w:val="21"/>
                <w:szCs w:val="21"/>
                <w:shd w:val="clear" w:color="auto" w:fill="FFFFFF"/>
              </w:rPr>
              <w:t>​</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7D687430" w:rsidR="00A84365" w:rsidRPr="00066C81" w:rsidRDefault="000F6830" w:rsidP="00066C81">
            <w:r>
              <w:rPr>
                <w:rStyle w:val="normaltextrun"/>
                <w:sz w:val="21"/>
                <w:szCs w:val="21"/>
                <w:bdr w:val="none" w:sz="0" w:space="0" w:color="auto" w:frame="1"/>
              </w:rPr>
              <w:t>​richard.allen@le.ac.uk</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0495C0F" w:rsidR="00066C81" w:rsidRDefault="000F6830" w:rsidP="00ED69E6">
            <w:r>
              <w:rPr>
                <w:rStyle w:val="normaltextrun"/>
                <w:sz w:val="21"/>
                <w:szCs w:val="21"/>
                <w:bdr w:val="none" w:sz="0" w:space="0" w:color="auto" w:frame="1"/>
              </w:rPr>
              <w:t>​Professor Louise Wain</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02072140" w:rsidR="00066C81" w:rsidRDefault="000F6830" w:rsidP="00ED69E6">
            <w:r>
              <w:rPr>
                <w:rStyle w:val="normaltextrun"/>
                <w:sz w:val="21"/>
                <w:szCs w:val="21"/>
                <w:shd w:val="clear" w:color="auto" w:fill="FFFFFF"/>
              </w:rPr>
              <w:t>Department of Population Health Sciences, University of Leicester</w:t>
            </w:r>
            <w:r>
              <w:rPr>
                <w:rStyle w:val="contentcontrolboundarysink"/>
                <w:sz w:val="21"/>
                <w:szCs w:val="21"/>
                <w:shd w:val="clear" w:color="auto" w:fill="FFFFFF"/>
              </w:rPr>
              <w:t>​​</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4846291E" w:rsidR="00A84365" w:rsidRDefault="000F6830" w:rsidP="00ED69E6">
            <w:r>
              <w:rPr>
                <w:rStyle w:val="normaltextrun"/>
                <w:sz w:val="21"/>
                <w:szCs w:val="21"/>
                <w:shd w:val="clear" w:color="auto" w:fill="FFFFFF"/>
              </w:rPr>
              <w:t>louisewain@leicester.ac.uk</w:t>
            </w:r>
            <w:r>
              <w:rPr>
                <w:rStyle w:val="contentcontrolboundarysink"/>
                <w:sz w:val="21"/>
                <w:szCs w:val="21"/>
                <w:shd w:val="clear" w:color="auto" w:fill="FFFFFF"/>
              </w:rPr>
              <w:t>​</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D44C52A" w:rsidR="00066C81" w:rsidRDefault="000F6830" w:rsidP="00ED69E6">
            <w:r>
              <w:rPr>
                <w:rStyle w:val="contentcontrolboundarysink"/>
                <w:sz w:val="21"/>
                <w:szCs w:val="21"/>
                <w:shd w:val="clear" w:color="auto" w:fill="FFFFFF"/>
              </w:rPr>
              <w:t>​</w:t>
            </w:r>
            <w:r>
              <w:rPr>
                <w:rStyle w:val="normaltextrun"/>
                <w:sz w:val="21"/>
                <w:szCs w:val="21"/>
                <w:shd w:val="clear" w:color="auto" w:fill="FFFFFF"/>
              </w:rPr>
              <w:t>Dr Kath Fawcett</w:t>
            </w:r>
            <w:r>
              <w:rPr>
                <w:rStyle w:val="contentcontrolboundarysink"/>
                <w:sz w:val="21"/>
                <w:szCs w:val="21"/>
                <w:shd w:val="clear" w:color="auto" w:fill="FFFFFF"/>
              </w:rPr>
              <w: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5302B081" w:rsidR="00066C81" w:rsidRDefault="000F6830" w:rsidP="00ED69E6">
            <w:r>
              <w:rPr>
                <w:rStyle w:val="normaltextrun"/>
                <w:sz w:val="21"/>
                <w:szCs w:val="21"/>
                <w:shd w:val="clear" w:color="auto" w:fill="FFFFFF"/>
              </w:rPr>
              <w:t>The role of rare genetic variants in fibrosis</w:t>
            </w:r>
            <w:r>
              <w:rPr>
                <w:rStyle w:val="contentcontrolboundarysink"/>
                <w:sz w:val="21"/>
                <w:szCs w:val="21"/>
                <w:shd w:val="clear" w:color="auto" w:fill="FFFFFF"/>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6AB19978" w:rsidR="00066C81" w:rsidRPr="009C7B59" w:rsidRDefault="009C7B59" w:rsidP="00ED69E6">
            <w:pPr>
              <w:rPr>
                <w:sz w:val="21"/>
                <w:szCs w:val="21"/>
              </w:rPr>
            </w:pPr>
            <w:r w:rsidRPr="009C7B59">
              <w:rPr>
                <w:sz w:val="21"/>
                <w:szCs w:val="21"/>
              </w:rPr>
              <w:t xml:space="preserve">Improve our understanding of the biology behind a major contributor to world-wide deaths </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0744B43A" w:rsidR="00066C81" w:rsidRPr="009C7B59" w:rsidRDefault="009C7B59" w:rsidP="00ED69E6">
            <w:pPr>
              <w:rPr>
                <w:sz w:val="21"/>
                <w:szCs w:val="21"/>
              </w:rPr>
            </w:pPr>
            <w:r w:rsidRPr="009C7B59">
              <w:rPr>
                <w:sz w:val="21"/>
                <w:szCs w:val="21"/>
              </w:rPr>
              <w:t>Use large datasets and novel statistical methods</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50068E03" w:rsidR="00066C81" w:rsidRPr="009C7B59" w:rsidRDefault="009C7B59" w:rsidP="00ED69E6">
            <w:pPr>
              <w:rPr>
                <w:sz w:val="21"/>
                <w:szCs w:val="21"/>
              </w:rPr>
            </w:pPr>
            <w:r w:rsidRPr="009C7B59">
              <w:rPr>
                <w:sz w:val="21"/>
                <w:szCs w:val="21"/>
              </w:rPr>
              <w:t>Aid in the development of new treatments</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062EB74D" w14:textId="77777777" w:rsidR="009C7B59" w:rsidRDefault="009C7B59" w:rsidP="00ED69E6">
            <w:pPr>
              <w:rPr>
                <w:rStyle w:val="normaltextrun"/>
                <w:b/>
                <w:bCs/>
                <w:sz w:val="20"/>
                <w:szCs w:val="20"/>
                <w:shd w:val="clear" w:color="auto" w:fill="FFFFFF"/>
              </w:rPr>
            </w:pPr>
          </w:p>
          <w:p w14:paraId="20A0A01D" w14:textId="7D3C3B50" w:rsidR="00066C81" w:rsidRDefault="000F6830" w:rsidP="00ED69E6">
            <w:pPr>
              <w:rPr>
                <w:b/>
              </w:rPr>
            </w:pPr>
            <w:r w:rsidRPr="005A6BF2">
              <w:rPr>
                <w:rStyle w:val="normaltextrun"/>
                <w:b/>
                <w:bCs/>
                <w:sz w:val="20"/>
                <w:szCs w:val="20"/>
                <w:shd w:val="clear" w:color="auto" w:fill="FFFFFF"/>
              </w:rPr>
              <w:t>Background</w:t>
            </w:r>
            <w:r>
              <w:rPr>
                <w:rStyle w:val="normaltextrun"/>
                <w:sz w:val="20"/>
                <w:szCs w:val="20"/>
                <w:shd w:val="clear" w:color="auto" w:fill="FFFFFF"/>
              </w:rPr>
              <w:t xml:space="preserve">: </w:t>
            </w:r>
            <w:r>
              <w:rPr>
                <w:rStyle w:val="contentcontrolboundarysink"/>
                <w:sz w:val="21"/>
                <w:szCs w:val="21"/>
                <w:shd w:val="clear" w:color="auto" w:fill="FFFFFF"/>
              </w:rPr>
              <w:t>​</w:t>
            </w:r>
            <w:r>
              <w:rPr>
                <w:rStyle w:val="normaltextrun"/>
                <w:sz w:val="21"/>
                <w:szCs w:val="21"/>
                <w:shd w:val="clear" w:color="auto" w:fill="FFFFFF"/>
              </w:rPr>
              <w:t>Fibrosis is where excessive scar tissue becomes deposited. This can impair how organs function and can lead to severe disease and is often fatal. DNA is a string of chemical bases that act as a set of instructions in each of the cells in the body. Studies have shown that an individual’s DNA plays a key role in many fibrotic diseases</w:t>
            </w:r>
            <w:r w:rsidR="009C7B59">
              <w:rPr>
                <w:rStyle w:val="normaltextrun"/>
                <w:sz w:val="21"/>
                <w:szCs w:val="21"/>
                <w:shd w:val="clear" w:color="auto" w:fill="FFFFFF"/>
                <w:vertAlign w:val="superscript"/>
              </w:rPr>
              <w:t>1-4</w:t>
            </w:r>
            <w:r>
              <w:rPr>
                <w:rStyle w:val="normaltextrun"/>
                <w:sz w:val="21"/>
                <w:szCs w:val="21"/>
                <w:shd w:val="clear" w:color="auto" w:fill="FFFFFF"/>
              </w:rPr>
              <w:t>. Identifying differences in the DNA sequence between individuals (genetic variants) affecting the risk of a trait allows us to identify biological mechanisms associated with the disease and can therefore help in the development of treatments that target these processes. It has been shown that novel therapies with support from genetic studies are twice as likely to be successful during drug development</w:t>
            </w:r>
            <w:r w:rsidR="009C7B59">
              <w:rPr>
                <w:rStyle w:val="normaltextrun"/>
                <w:sz w:val="21"/>
                <w:szCs w:val="21"/>
                <w:shd w:val="clear" w:color="auto" w:fill="FFFFFF"/>
                <w:vertAlign w:val="superscript"/>
              </w:rPr>
              <w:t>5</w:t>
            </w:r>
            <w:r w:rsidRPr="009C7B59">
              <w:rPr>
                <w:rStyle w:val="normaltextrun"/>
                <w:sz w:val="21"/>
                <w:szCs w:val="21"/>
                <w:shd w:val="clear" w:color="auto" w:fill="FFFFFF"/>
              </w:rPr>
              <w:t>.</w:t>
            </w:r>
            <w:r>
              <w:rPr>
                <w:rStyle w:val="normaltextrun"/>
                <w:sz w:val="21"/>
                <w:szCs w:val="21"/>
                <w:shd w:val="clear" w:color="auto" w:fill="FFFFFF"/>
              </w:rPr>
              <w:t xml:space="preserve"> </w:t>
            </w:r>
            <w:r>
              <w:rPr>
                <w:rStyle w:val="contentcontrolboundarysink"/>
                <w:sz w:val="21"/>
                <w:szCs w:val="21"/>
                <w:shd w:val="clear" w:color="auto" w:fill="FFFFFF"/>
              </w:rPr>
              <w:t>​</w:t>
            </w:r>
            <w:r>
              <w:rPr>
                <w:rStyle w:val="eop"/>
                <w:sz w:val="20"/>
                <w:szCs w:val="20"/>
                <w:shd w:val="clear" w:color="auto" w:fill="FFFFFF"/>
              </w:rPr>
              <w:t> </w:t>
            </w:r>
          </w:p>
          <w:p w14:paraId="4D2B2BA3" w14:textId="565515CF" w:rsidR="00066C81" w:rsidRDefault="00066C81" w:rsidP="00ED69E6">
            <w:pPr>
              <w:rPr>
                <w:b/>
              </w:rPr>
            </w:pPr>
          </w:p>
          <w:p w14:paraId="19327CF8" w14:textId="56CF59F4" w:rsidR="00A84365" w:rsidRDefault="000F6830" w:rsidP="00ED69E6">
            <w:pPr>
              <w:rPr>
                <w:b/>
              </w:rPr>
            </w:pPr>
            <w:r w:rsidRPr="005A6BF2">
              <w:rPr>
                <w:rStyle w:val="normaltextrun"/>
                <w:b/>
                <w:bCs/>
                <w:sz w:val="20"/>
                <w:szCs w:val="20"/>
                <w:shd w:val="clear" w:color="auto" w:fill="FFFFFF"/>
              </w:rPr>
              <w:t>Aim</w:t>
            </w:r>
            <w:r>
              <w:rPr>
                <w:rStyle w:val="normaltextrun"/>
                <w:sz w:val="20"/>
                <w:szCs w:val="20"/>
                <w:shd w:val="clear" w:color="auto" w:fill="FFFFFF"/>
              </w:rPr>
              <w:t xml:space="preserve">: </w:t>
            </w:r>
            <w:r>
              <w:rPr>
                <w:rStyle w:val="contentcontrolboundarysink"/>
                <w:sz w:val="21"/>
                <w:szCs w:val="21"/>
                <w:shd w:val="clear" w:color="auto" w:fill="FFFFFF"/>
              </w:rPr>
              <w:t>​</w:t>
            </w:r>
            <w:r>
              <w:rPr>
                <w:rStyle w:val="normaltextrun"/>
                <w:sz w:val="21"/>
                <w:szCs w:val="21"/>
                <w:shd w:val="clear" w:color="auto" w:fill="FFFFFF"/>
              </w:rPr>
              <w:t>To understand the role of rare genetic variants in fibrosis</w:t>
            </w:r>
            <w:r>
              <w:rPr>
                <w:rStyle w:val="contentcontrolboundarysink"/>
                <w:sz w:val="21"/>
                <w:szCs w:val="21"/>
                <w:shd w:val="clear" w:color="auto" w:fill="FFFFFF"/>
              </w:rPr>
              <w:t>​</w:t>
            </w:r>
            <w:r>
              <w:rPr>
                <w:rStyle w:val="eop"/>
                <w:sz w:val="20"/>
                <w:szCs w:val="20"/>
                <w:shd w:val="clear" w:color="auto" w:fill="FFFFFF"/>
              </w:rPr>
              <w:t> </w:t>
            </w:r>
          </w:p>
          <w:p w14:paraId="6A905ECE" w14:textId="672E786F" w:rsidR="00A84365" w:rsidRDefault="00A84365" w:rsidP="00ED69E6">
            <w:pPr>
              <w:rPr>
                <w:b/>
              </w:rPr>
            </w:pPr>
          </w:p>
          <w:p w14:paraId="7CCF1AE7" w14:textId="2DD87C7A" w:rsidR="00A84365" w:rsidRDefault="000F6830" w:rsidP="00ED69E6">
            <w:pPr>
              <w:rPr>
                <w:b/>
              </w:rPr>
            </w:pPr>
            <w:r w:rsidRPr="005A6BF2">
              <w:rPr>
                <w:rStyle w:val="normaltextrun"/>
                <w:b/>
                <w:bCs/>
                <w:sz w:val="20"/>
                <w:szCs w:val="20"/>
                <w:shd w:val="clear" w:color="auto" w:fill="FFFFFF"/>
              </w:rPr>
              <w:t>Research Plan</w:t>
            </w:r>
            <w:r>
              <w:rPr>
                <w:rStyle w:val="normaltextrun"/>
                <w:sz w:val="20"/>
                <w:szCs w:val="20"/>
                <w:shd w:val="clear" w:color="auto" w:fill="FFFFFF"/>
              </w:rPr>
              <w:t xml:space="preserve">: </w:t>
            </w:r>
            <w:r>
              <w:rPr>
                <w:rStyle w:val="contentcontrolboundarysink"/>
                <w:sz w:val="21"/>
                <w:szCs w:val="21"/>
                <w:shd w:val="clear" w:color="auto" w:fill="FFFFFF"/>
              </w:rPr>
              <w:t>​</w:t>
            </w:r>
            <w:r>
              <w:rPr>
                <w:rStyle w:val="normaltextrun"/>
                <w:sz w:val="21"/>
                <w:szCs w:val="21"/>
                <w:shd w:val="clear" w:color="auto" w:fill="FFFFFF"/>
              </w:rPr>
              <w:t>This project will use whole-genome and whole-exome sequencing data from disease specific cohorts and population biobanks to understand the role of rare genetic variants in fibrotic disease.  The applicant will initially identify rare pathogenic variants present in the fibrotic cohorts and then test for their association individually with fibrosis. The combined effect of multiple pathogenic variants will then be combined together through collapsing methods and burden tests. These gene scores will then also be tested for their association with fibrosis.</w:t>
            </w:r>
            <w:r>
              <w:rPr>
                <w:rStyle w:val="normaltextrun"/>
                <w:shd w:val="clear" w:color="auto" w:fill="FFFFFF"/>
              </w:rPr>
              <w:t xml:space="preserve"> </w:t>
            </w:r>
            <w:r>
              <w:rPr>
                <w:rStyle w:val="normaltextrun"/>
                <w:sz w:val="21"/>
                <w:szCs w:val="21"/>
                <w:shd w:val="clear" w:color="auto" w:fill="FFFFFF"/>
              </w:rPr>
              <w:t xml:space="preserve">For identified variants and genes, bioinformatic follow-up incorporating publicly available transcriptomic data to investigate the role of gene expression and Hi-C data to investigate physical interactions will be employed. Identified genes may also inform further wet-lab functional studies by national and international collaborators. Analyses will be performed using the University of Leicester’s high performance computing cluster using statistical and genetics software (such as R and PLINK). </w:t>
            </w:r>
            <w:r>
              <w:rPr>
                <w:rStyle w:val="contentcontrolboundarysink"/>
                <w:sz w:val="21"/>
                <w:szCs w:val="21"/>
                <w:shd w:val="clear" w:color="auto" w:fill="FFFFFF"/>
              </w:rPr>
              <w:t>​</w:t>
            </w:r>
            <w:r>
              <w:rPr>
                <w:rStyle w:val="eop"/>
                <w:sz w:val="21"/>
                <w:szCs w:val="21"/>
                <w:shd w:val="clear" w:color="auto" w:fill="FFFFFF"/>
              </w:rPr>
              <w:t> </w:t>
            </w:r>
          </w:p>
          <w:p w14:paraId="5EEF4CC7" w14:textId="1D616296" w:rsidR="00A84365" w:rsidRDefault="00A84365" w:rsidP="00ED69E6">
            <w:pPr>
              <w:rPr>
                <w:b/>
              </w:rPr>
            </w:pPr>
          </w:p>
          <w:p w14:paraId="3C0FC45F" w14:textId="4DC66743" w:rsidR="00A84365" w:rsidRDefault="000F6830" w:rsidP="00ED69E6">
            <w:pPr>
              <w:rPr>
                <w:b/>
              </w:rPr>
            </w:pPr>
            <w:r w:rsidRPr="005A6BF2">
              <w:rPr>
                <w:rStyle w:val="normaltextrun"/>
                <w:b/>
                <w:bCs/>
                <w:sz w:val="20"/>
                <w:szCs w:val="20"/>
                <w:shd w:val="clear" w:color="auto" w:fill="FFFFFF"/>
              </w:rPr>
              <w:t>Expected outcomes and impact</w:t>
            </w:r>
            <w:r>
              <w:rPr>
                <w:rStyle w:val="normaltextrun"/>
                <w:sz w:val="20"/>
                <w:szCs w:val="20"/>
                <w:shd w:val="clear" w:color="auto" w:fill="FFFFFF"/>
              </w:rPr>
              <w:t xml:space="preserve">: </w:t>
            </w:r>
            <w:r>
              <w:rPr>
                <w:rStyle w:val="contentcontrolboundarysink"/>
                <w:sz w:val="21"/>
                <w:szCs w:val="21"/>
                <w:shd w:val="clear" w:color="auto" w:fill="FFFFFF"/>
              </w:rPr>
              <w:t>​</w:t>
            </w:r>
            <w:r>
              <w:rPr>
                <w:rStyle w:val="normaltextrun"/>
                <w:sz w:val="21"/>
                <w:szCs w:val="21"/>
                <w:shd w:val="clear" w:color="auto" w:fill="FFFFFF"/>
              </w:rPr>
              <w:t>It is expected this work will lead to first-author publications and conference presentations at national and international conferences. These results will lead to further functional analyses by collaborators and may possibly form the basis of future grant applications (as evidenced by our previous work with pulmonary fibrosis) to better understand the biological mechanisms involved. Summary statistics from these analyses will be made publicly available and will feed into analysis pipelines of both academic and pharmaceutical organisations.</w:t>
            </w:r>
            <w:r>
              <w:rPr>
                <w:rStyle w:val="contentcontrolboundarysink"/>
                <w:sz w:val="21"/>
                <w:szCs w:val="21"/>
                <w:shd w:val="clear" w:color="auto" w:fill="FFFFFF"/>
              </w:rPr>
              <w:t>​</w:t>
            </w:r>
            <w:r>
              <w:rPr>
                <w:rStyle w:val="eop"/>
                <w:sz w:val="20"/>
                <w:szCs w:val="20"/>
                <w:shd w:val="clear" w:color="auto" w:fill="FFFFFF"/>
              </w:rPr>
              <w:t> </w:t>
            </w:r>
          </w:p>
          <w:p w14:paraId="28043D4E" w14:textId="77777777" w:rsidR="00066C81" w:rsidRDefault="00066C81" w:rsidP="00ED69E6">
            <w:pPr>
              <w:rPr>
                <w:b/>
              </w:rPr>
            </w:pPr>
          </w:p>
        </w:tc>
      </w:tr>
      <w:tr w:rsidR="00C764B2" w14:paraId="7D71261E" w14:textId="77777777" w:rsidTr="00ED69E6">
        <w:tc>
          <w:tcPr>
            <w:tcW w:w="9016" w:type="dxa"/>
            <w:gridSpan w:val="3"/>
          </w:tcPr>
          <w:p w14:paraId="56DC16AB" w14:textId="77777777" w:rsidR="00C764B2" w:rsidRDefault="00C764B2" w:rsidP="00ED69E6">
            <w:pPr>
              <w:rPr>
                <w:b/>
              </w:rPr>
            </w:pPr>
            <w:r>
              <w:rPr>
                <w:b/>
              </w:rPr>
              <w:t>References</w:t>
            </w:r>
          </w:p>
          <w:p w14:paraId="3BAD45DF" w14:textId="2EC7E932" w:rsidR="009C7B59" w:rsidRPr="00933804" w:rsidRDefault="009C7B59" w:rsidP="00ED69E6">
            <w:pPr>
              <w:rPr>
                <w:rStyle w:val="normaltextrun"/>
                <w:bCs/>
                <w:sz w:val="21"/>
                <w:szCs w:val="21"/>
                <w:shd w:val="clear" w:color="auto" w:fill="FFFFFF"/>
              </w:rPr>
            </w:pPr>
            <w:r w:rsidRPr="00933804">
              <w:rPr>
                <w:bCs/>
                <w:vertAlign w:val="superscript"/>
              </w:rPr>
              <w:lastRenderedPageBreak/>
              <w:t>1</w:t>
            </w:r>
            <w:r w:rsidRPr="00933804">
              <w:rPr>
                <w:bCs/>
              </w:rPr>
              <w:t xml:space="preserve"> </w:t>
            </w:r>
            <w:r w:rsidRPr="00933804">
              <w:rPr>
                <w:rStyle w:val="normaltextrun"/>
                <w:bCs/>
                <w:sz w:val="21"/>
                <w:szCs w:val="21"/>
                <w:shd w:val="clear" w:color="auto" w:fill="FFFFFF"/>
              </w:rPr>
              <w:t xml:space="preserve">Hold et al. Role of host genetics in fibrosis (2009) </w:t>
            </w:r>
            <w:r w:rsidRPr="00933804">
              <w:rPr>
                <w:rStyle w:val="normaltextrun"/>
                <w:bCs/>
                <w:i/>
                <w:iCs/>
                <w:sz w:val="21"/>
                <w:szCs w:val="21"/>
                <w:shd w:val="clear" w:color="auto" w:fill="FFFFFF"/>
              </w:rPr>
              <w:t>Fibrogenesis &amp; Tissue Repair</w:t>
            </w:r>
            <w:r w:rsidRPr="00933804">
              <w:rPr>
                <w:rStyle w:val="normaltextrun"/>
                <w:bCs/>
                <w:sz w:val="21"/>
                <w:szCs w:val="21"/>
                <w:shd w:val="clear" w:color="auto" w:fill="FFFFFF"/>
              </w:rPr>
              <w:t>. 2(1):6</w:t>
            </w:r>
          </w:p>
          <w:p w14:paraId="27516D8C" w14:textId="3DD905A0" w:rsidR="009C7B59" w:rsidRPr="00933804" w:rsidRDefault="009C7B59" w:rsidP="00ED69E6">
            <w:pPr>
              <w:rPr>
                <w:rStyle w:val="normaltextrun"/>
                <w:bCs/>
                <w:sz w:val="21"/>
                <w:szCs w:val="21"/>
                <w:shd w:val="clear" w:color="auto" w:fill="FFFFFF"/>
              </w:rPr>
            </w:pPr>
            <w:r w:rsidRPr="00933804">
              <w:rPr>
                <w:bCs/>
                <w:vertAlign w:val="superscript"/>
              </w:rPr>
              <w:t>2</w:t>
            </w:r>
            <w:r w:rsidRPr="00933804">
              <w:rPr>
                <w:bCs/>
              </w:rPr>
              <w:t xml:space="preserve"> </w:t>
            </w:r>
            <w:r w:rsidRPr="00933804">
              <w:rPr>
                <w:rStyle w:val="normaltextrun"/>
                <w:bCs/>
                <w:sz w:val="21"/>
                <w:szCs w:val="21"/>
                <w:shd w:val="clear" w:color="auto" w:fill="FFFFFF"/>
              </w:rPr>
              <w:t xml:space="preserve">Allen et al. Genome-Wide Association Study of Susceptibility to Idiopathic Pulmonary Fibrosis (2020) </w:t>
            </w:r>
            <w:r w:rsidRPr="00933804">
              <w:rPr>
                <w:rStyle w:val="normaltextrun"/>
                <w:bCs/>
                <w:i/>
                <w:iCs/>
                <w:sz w:val="21"/>
                <w:szCs w:val="21"/>
                <w:shd w:val="clear" w:color="auto" w:fill="FFFFFF"/>
              </w:rPr>
              <w:t>American Journal of Respiratory and Critical Care Medicine</w:t>
            </w:r>
            <w:r w:rsidRPr="00933804">
              <w:rPr>
                <w:rStyle w:val="normaltextrun"/>
                <w:bCs/>
                <w:sz w:val="21"/>
                <w:szCs w:val="21"/>
                <w:shd w:val="clear" w:color="auto" w:fill="FFFFFF"/>
              </w:rPr>
              <w:t>. 201(5):564-574</w:t>
            </w:r>
          </w:p>
          <w:p w14:paraId="0D7B7CFA" w14:textId="6BA3616E" w:rsidR="009C7B59" w:rsidRPr="00933804" w:rsidRDefault="009C7B59" w:rsidP="00ED69E6">
            <w:pPr>
              <w:rPr>
                <w:rStyle w:val="normaltextrun"/>
                <w:bCs/>
                <w:sz w:val="21"/>
                <w:szCs w:val="21"/>
                <w:shd w:val="clear" w:color="auto" w:fill="FFFFFF"/>
              </w:rPr>
            </w:pPr>
            <w:r w:rsidRPr="00933804">
              <w:rPr>
                <w:rStyle w:val="normaltextrun"/>
                <w:bCs/>
                <w:sz w:val="21"/>
                <w:szCs w:val="21"/>
                <w:shd w:val="clear" w:color="auto" w:fill="FFFFFF"/>
                <w:vertAlign w:val="superscript"/>
              </w:rPr>
              <w:t>3</w:t>
            </w:r>
            <w:r w:rsidRPr="00933804">
              <w:rPr>
                <w:rStyle w:val="normaltextrun"/>
                <w:bCs/>
                <w:sz w:val="21"/>
                <w:szCs w:val="21"/>
                <w:shd w:val="clear" w:color="auto" w:fill="FFFFFF"/>
              </w:rPr>
              <w:t xml:space="preserve"> Lopez-</w:t>
            </w:r>
            <w:proofErr w:type="spellStart"/>
            <w:r w:rsidRPr="00933804">
              <w:rPr>
                <w:rStyle w:val="normaltextrun"/>
                <w:bCs/>
                <w:sz w:val="21"/>
                <w:szCs w:val="21"/>
                <w:shd w:val="clear" w:color="auto" w:fill="FFFFFF"/>
              </w:rPr>
              <w:t>Isac</w:t>
            </w:r>
            <w:proofErr w:type="spellEnd"/>
            <w:r w:rsidRPr="00933804">
              <w:rPr>
                <w:rStyle w:val="normaltextrun"/>
                <w:bCs/>
                <w:sz w:val="21"/>
                <w:szCs w:val="21"/>
                <w:shd w:val="clear" w:color="auto" w:fill="FFFFFF"/>
              </w:rPr>
              <w:t xml:space="preserve"> et al. GWAS for systemic sclerosis identifies multiple risk loci and highlights fibrotic and vasculopathy pathways (2019) </w:t>
            </w:r>
            <w:r w:rsidRPr="00933804">
              <w:rPr>
                <w:rStyle w:val="normaltextrun"/>
                <w:bCs/>
                <w:i/>
                <w:iCs/>
                <w:sz w:val="21"/>
                <w:szCs w:val="21"/>
                <w:shd w:val="clear" w:color="auto" w:fill="FFFFFF"/>
              </w:rPr>
              <w:t>Nature Communications</w:t>
            </w:r>
            <w:r w:rsidRPr="00933804">
              <w:rPr>
                <w:rStyle w:val="normaltextrun"/>
                <w:bCs/>
                <w:sz w:val="21"/>
                <w:szCs w:val="21"/>
                <w:shd w:val="clear" w:color="auto" w:fill="FFFFFF"/>
              </w:rPr>
              <w:t>. 10(1):4955</w:t>
            </w:r>
          </w:p>
          <w:p w14:paraId="4C470B9E" w14:textId="170D1805" w:rsidR="009C7B59" w:rsidRPr="00933804" w:rsidRDefault="009C7B59" w:rsidP="00ED69E6">
            <w:pPr>
              <w:rPr>
                <w:rStyle w:val="normaltextrun"/>
                <w:bCs/>
                <w:sz w:val="21"/>
                <w:szCs w:val="21"/>
                <w:shd w:val="clear" w:color="auto" w:fill="FFFFFF"/>
              </w:rPr>
            </w:pPr>
            <w:r w:rsidRPr="00933804">
              <w:rPr>
                <w:rStyle w:val="normaltextrun"/>
                <w:bCs/>
                <w:sz w:val="21"/>
                <w:szCs w:val="21"/>
                <w:shd w:val="clear" w:color="auto" w:fill="FFFFFF"/>
                <w:vertAlign w:val="superscript"/>
              </w:rPr>
              <w:t>4</w:t>
            </w:r>
            <w:r w:rsidRPr="00933804">
              <w:rPr>
                <w:rStyle w:val="normaltextrun"/>
                <w:bCs/>
                <w:sz w:val="21"/>
                <w:szCs w:val="21"/>
                <w:shd w:val="clear" w:color="auto" w:fill="FFFFFF"/>
              </w:rPr>
              <w:t xml:space="preserve"> </w:t>
            </w:r>
            <w:proofErr w:type="spellStart"/>
            <w:r w:rsidRPr="00933804">
              <w:rPr>
                <w:rStyle w:val="normaltextrun"/>
                <w:bCs/>
                <w:sz w:val="21"/>
                <w:szCs w:val="21"/>
                <w:shd w:val="clear" w:color="auto" w:fill="FFFFFF"/>
              </w:rPr>
              <w:t>Vujkovic</w:t>
            </w:r>
            <w:proofErr w:type="spellEnd"/>
            <w:r w:rsidRPr="00933804">
              <w:rPr>
                <w:rStyle w:val="normaltextrun"/>
                <w:bCs/>
                <w:sz w:val="21"/>
                <w:szCs w:val="21"/>
                <w:shd w:val="clear" w:color="auto" w:fill="FFFFFF"/>
              </w:rPr>
              <w:t xml:space="preserve"> et al.  A </w:t>
            </w:r>
            <w:proofErr w:type="spellStart"/>
            <w:r w:rsidRPr="00933804">
              <w:rPr>
                <w:rStyle w:val="normaltextrun"/>
                <w:bCs/>
                <w:sz w:val="21"/>
                <w:szCs w:val="21"/>
                <w:shd w:val="clear" w:color="auto" w:fill="FFFFFF"/>
              </w:rPr>
              <w:t>multiancestry</w:t>
            </w:r>
            <w:proofErr w:type="spellEnd"/>
            <w:r w:rsidRPr="00933804">
              <w:rPr>
                <w:rStyle w:val="normaltextrun"/>
                <w:bCs/>
                <w:sz w:val="21"/>
                <w:szCs w:val="21"/>
                <w:shd w:val="clear" w:color="auto" w:fill="FFFFFF"/>
              </w:rPr>
              <w:t xml:space="preserve"> genome-wide association study of unexplained chronic ALT elevation as a proxy for </w:t>
            </w:r>
            <w:proofErr w:type="spellStart"/>
            <w:r w:rsidRPr="00933804">
              <w:rPr>
                <w:rStyle w:val="normaltextrun"/>
                <w:bCs/>
                <w:sz w:val="21"/>
                <w:szCs w:val="21"/>
                <w:shd w:val="clear" w:color="auto" w:fill="FFFFFF"/>
              </w:rPr>
              <w:t>nonalcoholic</w:t>
            </w:r>
            <w:proofErr w:type="spellEnd"/>
            <w:r w:rsidRPr="00933804">
              <w:rPr>
                <w:rStyle w:val="normaltextrun"/>
                <w:bCs/>
                <w:sz w:val="21"/>
                <w:szCs w:val="21"/>
                <w:shd w:val="clear" w:color="auto" w:fill="FFFFFF"/>
              </w:rPr>
              <w:t xml:space="preserve"> fatty liver disease with histological and radiological validation (2022) </w:t>
            </w:r>
            <w:r w:rsidRPr="00933804">
              <w:rPr>
                <w:rStyle w:val="normaltextrun"/>
                <w:bCs/>
                <w:i/>
                <w:iCs/>
                <w:sz w:val="21"/>
                <w:szCs w:val="21"/>
                <w:shd w:val="clear" w:color="auto" w:fill="FFFFFF"/>
              </w:rPr>
              <w:t>Nature Genetics</w:t>
            </w:r>
            <w:r w:rsidRPr="00933804">
              <w:rPr>
                <w:rStyle w:val="normaltextrun"/>
                <w:bCs/>
                <w:sz w:val="21"/>
                <w:szCs w:val="21"/>
                <w:shd w:val="clear" w:color="auto" w:fill="FFFFFF"/>
              </w:rPr>
              <w:t>. 54(6):761-771</w:t>
            </w:r>
          </w:p>
          <w:p w14:paraId="17BD79B2" w14:textId="45CDC552" w:rsidR="00C764B2" w:rsidRPr="00933804" w:rsidRDefault="009C7B59" w:rsidP="00ED69E6">
            <w:pPr>
              <w:rPr>
                <w:bCs/>
              </w:rPr>
            </w:pPr>
            <w:r w:rsidRPr="00933804">
              <w:rPr>
                <w:bCs/>
                <w:vertAlign w:val="superscript"/>
              </w:rPr>
              <w:t>5</w:t>
            </w:r>
            <w:r w:rsidRPr="00933804">
              <w:rPr>
                <w:bCs/>
              </w:rPr>
              <w:t xml:space="preserve"> </w:t>
            </w:r>
            <w:r w:rsidRPr="00933804">
              <w:rPr>
                <w:rStyle w:val="normaltextrun"/>
                <w:bCs/>
                <w:sz w:val="21"/>
                <w:szCs w:val="21"/>
                <w:shd w:val="clear" w:color="auto" w:fill="FFFFFF"/>
              </w:rPr>
              <w:t>Nelson et al. The support of human genetic evidence for approved drug indications</w:t>
            </w:r>
            <w:r w:rsidR="00933804" w:rsidRPr="00933804">
              <w:rPr>
                <w:rStyle w:val="normaltextrun"/>
                <w:bCs/>
                <w:sz w:val="21"/>
                <w:szCs w:val="21"/>
                <w:shd w:val="clear" w:color="auto" w:fill="FFFFFF"/>
              </w:rPr>
              <w:t xml:space="preserve"> (2015) </w:t>
            </w:r>
            <w:r w:rsidR="00933804" w:rsidRPr="00933804">
              <w:rPr>
                <w:rStyle w:val="normaltextrun"/>
                <w:bCs/>
                <w:i/>
                <w:iCs/>
                <w:sz w:val="21"/>
                <w:szCs w:val="21"/>
                <w:shd w:val="clear" w:color="auto" w:fill="FFFFFF"/>
              </w:rPr>
              <w:t>Nature Genetics</w:t>
            </w:r>
            <w:r w:rsidR="00933804" w:rsidRPr="00933804">
              <w:rPr>
                <w:rStyle w:val="normaltextrun"/>
                <w:bCs/>
                <w:sz w:val="21"/>
                <w:szCs w:val="21"/>
                <w:shd w:val="clear" w:color="auto" w:fill="FFFFFF"/>
              </w:rPr>
              <w:t>. 47(8):856-860.</w:t>
            </w: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0F6830"/>
    <w:rsid w:val="005A6BF2"/>
    <w:rsid w:val="00933804"/>
    <w:rsid w:val="009C7B59"/>
    <w:rsid w:val="00A84365"/>
    <w:rsid w:val="00AB3CD2"/>
    <w:rsid w:val="00BB70D0"/>
    <w:rsid w:val="00C764B2"/>
    <w:rsid w:val="00EC4710"/>
    <w:rsid w:val="19528E2E"/>
    <w:rsid w:val="7395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6A0CB21D-8201-4F11-BE12-F2C3BF97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F6830"/>
  </w:style>
  <w:style w:type="character" w:customStyle="1" w:styleId="contentcontrolboundarysink">
    <w:name w:val="contentcontrolboundarysink"/>
    <w:basedOn w:val="DefaultParagraphFont"/>
    <w:rsid w:val="000F6830"/>
  </w:style>
  <w:style w:type="character" w:customStyle="1" w:styleId="eop">
    <w:name w:val="eop"/>
    <w:basedOn w:val="DefaultParagraphFont"/>
    <w:rsid w:val="000F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3A064-B157-4AA8-B945-5C5C5C6F5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1C82B-3B9E-49F0-9F9C-ADE04C4F8C37}">
  <ds:schemaRefs>
    <ds:schemaRef ds:uri="http://schemas.microsoft.com/sharepoint/v3/contenttype/forms"/>
  </ds:schemaRefs>
</ds:datastoreItem>
</file>

<file path=customXml/itemProps3.xml><?xml version="1.0" encoding="utf-8"?>
<ds:datastoreItem xmlns:ds="http://schemas.openxmlformats.org/officeDocument/2006/customXml" ds:itemID="{6705D610-0651-4C09-902E-D28D43924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4</cp:revision>
  <dcterms:created xsi:type="dcterms:W3CDTF">2023-03-09T13:27:00Z</dcterms:created>
  <dcterms:modified xsi:type="dcterms:W3CDTF">2023-03-14T11:35:00Z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