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B0EB9" w14:textId="18D1D38C" w:rsidR="00BC3148" w:rsidRPr="003370E8" w:rsidRDefault="003370E8">
      <w:pPr>
        <w:spacing w:after="0" w:line="240" w:lineRule="auto"/>
        <w:rPr>
          <w:b/>
          <w:bCs/>
          <w:color w:val="auto"/>
        </w:rPr>
      </w:pPr>
      <w:r w:rsidRPr="003370E8">
        <w:rPr>
          <w:b/>
          <w:bCs/>
          <w:color w:val="auto"/>
        </w:rPr>
        <w:t>University of Leicester</w:t>
      </w:r>
    </w:p>
    <w:p w14:paraId="44AD65F8" w14:textId="77777777" w:rsidR="003370E8" w:rsidRDefault="003370E8">
      <w:pPr>
        <w:spacing w:after="0" w:line="240" w:lineRule="auto"/>
      </w:pPr>
    </w:p>
    <w:tbl>
      <w:tblPr>
        <w:tblStyle w:val="TableGrid1"/>
        <w:tblW w:w="9034" w:type="dxa"/>
        <w:tblLayout w:type="fixed"/>
        <w:tblLook w:val="04A0" w:firstRow="1" w:lastRow="0" w:firstColumn="1" w:lastColumn="0" w:noHBand="0" w:noVBand="1"/>
      </w:tblPr>
      <w:tblGrid>
        <w:gridCol w:w="3226"/>
        <w:gridCol w:w="5808"/>
      </w:tblGrid>
      <w:tr w:rsidR="00BC3148" w14:paraId="6C3B0EBC" w14:textId="77777777">
        <w:tc>
          <w:tcPr>
            <w:tcW w:w="3226" w:type="dxa"/>
            <w:shd w:val="clear" w:color="auto" w:fill="F2F2F2" w:themeFill="background1" w:themeFillShade="F2"/>
          </w:tcPr>
          <w:p w14:paraId="6C3B0EBA" w14:textId="77777777" w:rsidR="00BC3148" w:rsidRDefault="00DF2BA2">
            <w:pPr>
              <w:spacing w:after="0" w:line="240" w:lineRule="auto"/>
              <w:rPr>
                <w:b/>
              </w:rPr>
            </w:pPr>
            <w:r>
              <w:rPr>
                <w:b/>
              </w:rPr>
              <w:t>Project Reference</w:t>
            </w:r>
          </w:p>
        </w:tc>
        <w:tc>
          <w:tcPr>
            <w:tcW w:w="5807" w:type="dxa"/>
          </w:tcPr>
          <w:p w14:paraId="6C3B0EBB" w14:textId="77777777" w:rsidR="00BC3148" w:rsidRDefault="00DF2BA2">
            <w:pPr>
              <w:spacing w:after="0"/>
            </w:pPr>
            <w:r>
              <w:t xml:space="preserve">BRC </w:t>
            </w:r>
            <w:r>
              <w:rPr>
                <w:color w:val="000000" w:themeColor="text1"/>
              </w:rPr>
              <w:t>Studentships</w:t>
            </w:r>
          </w:p>
        </w:tc>
      </w:tr>
    </w:tbl>
    <w:p w14:paraId="6C3B0EBD" w14:textId="77777777" w:rsidR="00BC3148" w:rsidRDefault="00BC3148">
      <w:pPr>
        <w:spacing w:after="0" w:line="240" w:lineRule="auto"/>
      </w:pPr>
    </w:p>
    <w:tbl>
      <w:tblPr>
        <w:tblStyle w:val="TableGrid1"/>
        <w:tblW w:w="9034" w:type="dxa"/>
        <w:tblLayout w:type="fixed"/>
        <w:tblLook w:val="04A0" w:firstRow="1" w:lastRow="0" w:firstColumn="1" w:lastColumn="0" w:noHBand="0" w:noVBand="1"/>
      </w:tblPr>
      <w:tblGrid>
        <w:gridCol w:w="3226"/>
        <w:gridCol w:w="5808"/>
      </w:tblGrid>
      <w:tr w:rsidR="00BC3148" w14:paraId="6C3B0EC0" w14:textId="77777777">
        <w:tc>
          <w:tcPr>
            <w:tcW w:w="3226" w:type="dxa"/>
            <w:shd w:val="clear" w:color="auto" w:fill="F2F2F2" w:themeFill="background1" w:themeFillShade="F2"/>
          </w:tcPr>
          <w:p w14:paraId="6C3B0EBE" w14:textId="77777777" w:rsidR="00BC3148" w:rsidRDefault="00DF2BA2">
            <w:pPr>
              <w:spacing w:after="0" w:line="240" w:lineRule="auto"/>
              <w:rPr>
                <w:b/>
              </w:rPr>
            </w:pPr>
            <w:r>
              <w:rPr>
                <w:b/>
              </w:rPr>
              <w:t>First Supervisor</w:t>
            </w:r>
          </w:p>
        </w:tc>
        <w:tc>
          <w:tcPr>
            <w:tcW w:w="5807" w:type="dxa"/>
          </w:tcPr>
          <w:p w14:paraId="6C3B0EBF" w14:textId="32C56634" w:rsidR="00BC3148" w:rsidRDefault="00DF2BA2">
            <w:pPr>
              <w:spacing w:after="0" w:line="240" w:lineRule="auto"/>
            </w:pPr>
            <w:r>
              <w:rPr>
                <w:rStyle w:val="contentcontrolboundarysink"/>
                <w:sz w:val="21"/>
                <w:szCs w:val="21"/>
                <w:shd w:val="clear" w:color="auto" w:fill="FFFFFF"/>
              </w:rPr>
              <w:t>​</w:t>
            </w:r>
            <w:r w:rsidR="003370E8">
              <w:rPr>
                <w:rStyle w:val="contentcontrolboundarysink"/>
                <w:sz w:val="21"/>
                <w:szCs w:val="21"/>
                <w:shd w:val="clear" w:color="auto" w:fill="FFFFFF"/>
              </w:rPr>
              <w:t xml:space="preserve">Professor </w:t>
            </w:r>
            <w:r>
              <w:rPr>
                <w:rStyle w:val="normaltextrun"/>
                <w:sz w:val="21"/>
                <w:szCs w:val="21"/>
                <w:shd w:val="clear" w:color="auto" w:fill="FFFFFF"/>
              </w:rPr>
              <w:t>Gavin Murphy</w:t>
            </w:r>
            <w:r>
              <w:rPr>
                <w:rStyle w:val="contentcontrolboundarysink"/>
                <w:sz w:val="21"/>
                <w:szCs w:val="21"/>
                <w:shd w:val="clear" w:color="auto" w:fill="FFFFFF"/>
              </w:rPr>
              <w:t>​</w:t>
            </w:r>
          </w:p>
        </w:tc>
      </w:tr>
      <w:tr w:rsidR="00BC3148" w14:paraId="6C3B0EC3" w14:textId="77777777">
        <w:tc>
          <w:tcPr>
            <w:tcW w:w="3226" w:type="dxa"/>
            <w:shd w:val="clear" w:color="auto" w:fill="F2F2F2" w:themeFill="background1" w:themeFillShade="F2"/>
          </w:tcPr>
          <w:p w14:paraId="6C3B0EC1" w14:textId="77777777" w:rsidR="00BC3148" w:rsidRDefault="00DF2BA2">
            <w:pPr>
              <w:spacing w:after="0" w:line="240" w:lineRule="auto"/>
              <w:rPr>
                <w:b/>
              </w:rPr>
            </w:pPr>
            <w:r>
              <w:rPr>
                <w:b/>
              </w:rPr>
              <w:t>School/Department</w:t>
            </w:r>
          </w:p>
        </w:tc>
        <w:tc>
          <w:tcPr>
            <w:tcW w:w="5807" w:type="dxa"/>
          </w:tcPr>
          <w:p w14:paraId="6C3B0EC2" w14:textId="6B7DBBEF" w:rsidR="00BC3148" w:rsidRDefault="00DF2BA2">
            <w:pPr>
              <w:spacing w:after="0" w:line="240" w:lineRule="auto"/>
              <w:rPr>
                <w:sz w:val="21"/>
                <w:szCs w:val="21"/>
                <w:lang w:val="en-US"/>
              </w:rPr>
            </w:pPr>
            <w:r>
              <w:rPr>
                <w:rStyle w:val="normaltextrun"/>
                <w:sz w:val="21"/>
                <w:szCs w:val="21"/>
                <w:lang w:val="en-US"/>
              </w:rPr>
              <w:t>​Cardiovascular Sciences</w:t>
            </w:r>
          </w:p>
        </w:tc>
      </w:tr>
      <w:tr w:rsidR="00BC3148" w14:paraId="6C3B0EC6" w14:textId="77777777">
        <w:tc>
          <w:tcPr>
            <w:tcW w:w="3226" w:type="dxa"/>
            <w:shd w:val="clear" w:color="auto" w:fill="F2F2F2" w:themeFill="background1" w:themeFillShade="F2"/>
          </w:tcPr>
          <w:p w14:paraId="6C3B0EC4" w14:textId="77777777" w:rsidR="00BC3148" w:rsidRDefault="00DF2BA2">
            <w:pPr>
              <w:spacing w:after="0" w:line="240" w:lineRule="auto"/>
              <w:rPr>
                <w:b/>
              </w:rPr>
            </w:pPr>
            <w:r>
              <w:rPr>
                <w:b/>
              </w:rPr>
              <w:t xml:space="preserve">Email </w:t>
            </w:r>
          </w:p>
        </w:tc>
        <w:tc>
          <w:tcPr>
            <w:tcW w:w="5807" w:type="dxa"/>
          </w:tcPr>
          <w:p w14:paraId="6C3B0EC5" w14:textId="1F359599" w:rsidR="003370E8" w:rsidRDefault="00DF2BA2">
            <w:pPr>
              <w:spacing w:after="0" w:line="240" w:lineRule="auto"/>
            </w:pPr>
            <w:r>
              <w:rPr>
                <w:rStyle w:val="contentcontrolboundarysink"/>
                <w:sz w:val="21"/>
                <w:szCs w:val="21"/>
                <w:shd w:val="clear" w:color="auto" w:fill="FFFFFF"/>
              </w:rPr>
              <w:t>​</w:t>
            </w:r>
            <w:hyperlink r:id="rId8" w:history="1">
              <w:r w:rsidR="003370E8" w:rsidRPr="00B57650">
                <w:rPr>
                  <w:rStyle w:val="Hyperlink"/>
                  <w:sz w:val="21"/>
                  <w:szCs w:val="21"/>
                  <w:shd w:val="clear" w:color="auto" w:fill="FFFFFF"/>
                </w:rPr>
                <w:t>gjm19@le.ac.uk</w:t>
              </w:r>
            </w:hyperlink>
          </w:p>
        </w:tc>
      </w:tr>
    </w:tbl>
    <w:p w14:paraId="6C3B0EC7" w14:textId="77777777" w:rsidR="00BC3148" w:rsidRDefault="00BC3148">
      <w:pPr>
        <w:spacing w:after="0" w:line="240" w:lineRule="auto"/>
      </w:pPr>
    </w:p>
    <w:tbl>
      <w:tblPr>
        <w:tblStyle w:val="TableGrid"/>
        <w:tblW w:w="9034" w:type="dxa"/>
        <w:tblLayout w:type="fixed"/>
        <w:tblLook w:val="04A0" w:firstRow="1" w:lastRow="0" w:firstColumn="1" w:lastColumn="0" w:noHBand="0" w:noVBand="1"/>
      </w:tblPr>
      <w:tblGrid>
        <w:gridCol w:w="3255"/>
        <w:gridCol w:w="5779"/>
      </w:tblGrid>
      <w:tr w:rsidR="00BC3148" w14:paraId="6C3B0ECA" w14:textId="77777777">
        <w:tc>
          <w:tcPr>
            <w:tcW w:w="3255" w:type="dxa"/>
            <w:shd w:val="clear" w:color="auto" w:fill="F2F2F2" w:themeFill="background1" w:themeFillShade="F2"/>
          </w:tcPr>
          <w:p w14:paraId="6C3B0EC8" w14:textId="77777777" w:rsidR="00BC3148" w:rsidRDefault="00DF2BA2">
            <w:pPr>
              <w:spacing w:after="0" w:line="240" w:lineRule="auto"/>
              <w:rPr>
                <w:b/>
              </w:rPr>
            </w:pPr>
            <w:r>
              <w:rPr>
                <w:b/>
              </w:rPr>
              <w:t>Second Supervisor</w:t>
            </w:r>
          </w:p>
        </w:tc>
        <w:tc>
          <w:tcPr>
            <w:tcW w:w="5778" w:type="dxa"/>
          </w:tcPr>
          <w:p w14:paraId="6C3B0EC9" w14:textId="6A8F390C" w:rsidR="00BC3148" w:rsidRDefault="003370E8">
            <w:pPr>
              <w:spacing w:after="0" w:line="240" w:lineRule="auto"/>
              <w:rPr>
                <w:sz w:val="21"/>
                <w:szCs w:val="21"/>
              </w:rPr>
            </w:pPr>
            <w:r>
              <w:rPr>
                <w:rStyle w:val="normaltextrun"/>
                <w:sz w:val="21"/>
                <w:szCs w:val="21"/>
              </w:rPr>
              <w:t xml:space="preserve">Dr </w:t>
            </w:r>
            <w:r w:rsidR="00DF2BA2">
              <w:rPr>
                <w:rStyle w:val="normaltextrun"/>
                <w:sz w:val="21"/>
                <w:szCs w:val="21"/>
              </w:rPr>
              <w:t>Marcin Wozniak</w:t>
            </w:r>
          </w:p>
        </w:tc>
      </w:tr>
      <w:tr w:rsidR="00BC3148" w14:paraId="6C3B0ECD" w14:textId="77777777">
        <w:tc>
          <w:tcPr>
            <w:tcW w:w="3255" w:type="dxa"/>
            <w:shd w:val="clear" w:color="auto" w:fill="F2F2F2" w:themeFill="background1" w:themeFillShade="F2"/>
          </w:tcPr>
          <w:p w14:paraId="6C3B0ECB" w14:textId="77777777" w:rsidR="00BC3148" w:rsidRDefault="00DF2BA2">
            <w:pPr>
              <w:spacing w:after="0" w:line="240" w:lineRule="auto"/>
              <w:rPr>
                <w:b/>
              </w:rPr>
            </w:pPr>
            <w:r>
              <w:rPr>
                <w:b/>
              </w:rPr>
              <w:t>School/Department</w:t>
            </w:r>
          </w:p>
        </w:tc>
        <w:tc>
          <w:tcPr>
            <w:tcW w:w="5778" w:type="dxa"/>
          </w:tcPr>
          <w:p w14:paraId="6C3B0ECC" w14:textId="6768570F" w:rsidR="00BC3148" w:rsidRDefault="00DF2BA2">
            <w:pPr>
              <w:spacing w:after="0" w:line="240" w:lineRule="auto"/>
            </w:pPr>
            <w:r>
              <w:rPr>
                <w:rStyle w:val="contentcontrolboundarysink"/>
                <w:sz w:val="21"/>
                <w:szCs w:val="21"/>
                <w:shd w:val="clear" w:color="auto" w:fill="FFFFFF"/>
                <w:lang w:val="en-US"/>
              </w:rPr>
              <w:t>​</w:t>
            </w:r>
            <w:r>
              <w:rPr>
                <w:rStyle w:val="normaltextrun"/>
                <w:sz w:val="21"/>
                <w:szCs w:val="21"/>
                <w:shd w:val="clear" w:color="auto" w:fill="FFFFFF"/>
                <w:lang w:val="en-US"/>
              </w:rPr>
              <w:t>Cardiovascular Sciences</w:t>
            </w:r>
          </w:p>
        </w:tc>
      </w:tr>
      <w:tr w:rsidR="00BC3148" w14:paraId="6C3B0ED0" w14:textId="77777777">
        <w:tc>
          <w:tcPr>
            <w:tcW w:w="3255" w:type="dxa"/>
            <w:shd w:val="clear" w:color="auto" w:fill="F2F2F2" w:themeFill="background1" w:themeFillShade="F2"/>
          </w:tcPr>
          <w:p w14:paraId="6C3B0ECE" w14:textId="77777777" w:rsidR="00BC3148" w:rsidRDefault="00DF2BA2">
            <w:pPr>
              <w:spacing w:after="0" w:line="240" w:lineRule="auto"/>
              <w:rPr>
                <w:b/>
              </w:rPr>
            </w:pPr>
            <w:r>
              <w:rPr>
                <w:b/>
              </w:rPr>
              <w:t xml:space="preserve">Email </w:t>
            </w:r>
          </w:p>
        </w:tc>
        <w:tc>
          <w:tcPr>
            <w:tcW w:w="5778" w:type="dxa"/>
          </w:tcPr>
          <w:p w14:paraId="6C3B0ECF" w14:textId="39D677AB" w:rsidR="00BC3148" w:rsidRDefault="00DF2BA2">
            <w:pPr>
              <w:spacing w:after="0" w:line="240" w:lineRule="auto"/>
            </w:pPr>
            <w:r>
              <w:rPr>
                <w:rStyle w:val="contentcontrolboundarysink"/>
                <w:sz w:val="21"/>
                <w:szCs w:val="21"/>
                <w:shd w:val="clear" w:color="auto" w:fill="FFFFFF"/>
              </w:rPr>
              <w:t>​</w:t>
            </w:r>
            <w:hyperlink r:id="rId9" w:history="1">
              <w:r w:rsidR="003370E8" w:rsidRPr="00B57650">
                <w:rPr>
                  <w:rStyle w:val="Hyperlink"/>
                  <w:sz w:val="21"/>
                  <w:szCs w:val="21"/>
                  <w:shd w:val="clear" w:color="auto" w:fill="FFFFFF"/>
                </w:rPr>
                <w:t>mw299@le.ac.uk</w:t>
              </w:r>
            </w:hyperlink>
            <w:r w:rsidR="003370E8">
              <w:rPr>
                <w:rStyle w:val="contentcontrolboundarysink"/>
              </w:rPr>
              <w:t xml:space="preserve"> </w:t>
            </w:r>
          </w:p>
        </w:tc>
      </w:tr>
    </w:tbl>
    <w:p w14:paraId="6C3B0ED1" w14:textId="77777777" w:rsidR="00BC3148" w:rsidRDefault="00BC3148">
      <w:pPr>
        <w:spacing w:after="0" w:line="240" w:lineRule="auto"/>
      </w:pPr>
    </w:p>
    <w:tbl>
      <w:tblPr>
        <w:tblStyle w:val="TableGrid"/>
        <w:tblW w:w="9034" w:type="dxa"/>
        <w:tblLayout w:type="fixed"/>
        <w:tblLook w:val="04A0" w:firstRow="1" w:lastRow="0" w:firstColumn="1" w:lastColumn="0" w:noHBand="0" w:noVBand="1"/>
      </w:tblPr>
      <w:tblGrid>
        <w:gridCol w:w="3255"/>
        <w:gridCol w:w="5779"/>
      </w:tblGrid>
      <w:tr w:rsidR="00BC3148" w14:paraId="6C3B0ED4" w14:textId="77777777">
        <w:tc>
          <w:tcPr>
            <w:tcW w:w="3255" w:type="dxa"/>
            <w:shd w:val="clear" w:color="auto" w:fill="F2F2F2" w:themeFill="background1" w:themeFillShade="F2"/>
          </w:tcPr>
          <w:p w14:paraId="6C3B0ED2" w14:textId="77777777" w:rsidR="00BC3148" w:rsidRDefault="00DF2BA2">
            <w:pPr>
              <w:spacing w:after="0" w:line="240" w:lineRule="auto"/>
              <w:rPr>
                <w:b/>
              </w:rPr>
            </w:pPr>
            <w:r>
              <w:rPr>
                <w:b/>
              </w:rPr>
              <w:t>Additional Supervisor</w:t>
            </w:r>
          </w:p>
        </w:tc>
        <w:tc>
          <w:tcPr>
            <w:tcW w:w="5778" w:type="dxa"/>
          </w:tcPr>
          <w:p w14:paraId="6C3B0ED3" w14:textId="77777777" w:rsidR="00BC3148" w:rsidRDefault="00DF2BA2">
            <w:pPr>
              <w:spacing w:after="0" w:line="240" w:lineRule="auto"/>
            </w:pPr>
            <w:r>
              <w:rPr>
                <w:rStyle w:val="contentcontrolboundarysink"/>
                <w:sz w:val="21"/>
                <w:szCs w:val="21"/>
                <w:shd w:val="clear" w:color="auto" w:fill="FFFFFF"/>
              </w:rPr>
              <w:t>​</w:t>
            </w:r>
            <w:r>
              <w:rPr>
                <w:rStyle w:val="normaltextrun"/>
                <w:sz w:val="21"/>
                <w:szCs w:val="21"/>
                <w:shd w:val="clear" w:color="auto" w:fill="FFFFFF"/>
              </w:rPr>
              <w:t>Adewale Adebayo</w:t>
            </w:r>
            <w:r>
              <w:rPr>
                <w:rStyle w:val="contentcontrolboundarysink"/>
                <w:sz w:val="21"/>
                <w:szCs w:val="21"/>
                <w:shd w:val="clear" w:color="auto" w:fill="FFFFFF"/>
              </w:rPr>
              <w:t>​</w:t>
            </w:r>
          </w:p>
        </w:tc>
      </w:tr>
      <w:tr w:rsidR="00BC3148" w14:paraId="6C3B0ED7" w14:textId="77777777">
        <w:tc>
          <w:tcPr>
            <w:tcW w:w="3255" w:type="dxa"/>
            <w:shd w:val="clear" w:color="auto" w:fill="F2F2F2" w:themeFill="background1" w:themeFillShade="F2"/>
          </w:tcPr>
          <w:p w14:paraId="6C3B0ED5" w14:textId="77777777" w:rsidR="00BC3148" w:rsidRDefault="00DF2BA2">
            <w:pPr>
              <w:spacing w:after="0" w:line="240" w:lineRule="auto"/>
              <w:rPr>
                <w:b/>
              </w:rPr>
            </w:pPr>
            <w:r>
              <w:rPr>
                <w:b/>
              </w:rPr>
              <w:t>School/Department</w:t>
            </w:r>
          </w:p>
        </w:tc>
        <w:tc>
          <w:tcPr>
            <w:tcW w:w="5778" w:type="dxa"/>
          </w:tcPr>
          <w:p w14:paraId="6C3B0ED6" w14:textId="77777777" w:rsidR="00BC3148" w:rsidRDefault="00DF2BA2">
            <w:pPr>
              <w:spacing w:after="0" w:line="240" w:lineRule="auto"/>
              <w:rPr>
                <w:rStyle w:val="contentcontrolboundarysink"/>
                <w:sz w:val="21"/>
                <w:szCs w:val="21"/>
                <w:shd w:val="clear" w:color="auto" w:fill="FFFFFF"/>
              </w:rPr>
            </w:pPr>
            <w:r>
              <w:rPr>
                <w:rStyle w:val="normaltextrun"/>
                <w:sz w:val="21"/>
                <w:szCs w:val="21"/>
                <w:shd w:val="clear" w:color="auto" w:fill="FFFFFF"/>
                <w:lang w:val="en-US"/>
              </w:rPr>
              <w:t>Cardiovascular Sciences</w:t>
            </w:r>
          </w:p>
        </w:tc>
      </w:tr>
      <w:tr w:rsidR="00BC3148" w14:paraId="6C3B0EDA" w14:textId="77777777">
        <w:tc>
          <w:tcPr>
            <w:tcW w:w="3255" w:type="dxa"/>
            <w:shd w:val="clear" w:color="auto" w:fill="F2F2F2" w:themeFill="background1" w:themeFillShade="F2"/>
          </w:tcPr>
          <w:p w14:paraId="6C3B0ED8" w14:textId="77777777" w:rsidR="00BC3148" w:rsidRDefault="00DF2BA2">
            <w:pPr>
              <w:spacing w:after="0" w:line="240" w:lineRule="auto"/>
              <w:rPr>
                <w:b/>
              </w:rPr>
            </w:pPr>
            <w:r>
              <w:rPr>
                <w:b/>
              </w:rPr>
              <w:t>Email</w:t>
            </w:r>
          </w:p>
        </w:tc>
        <w:tc>
          <w:tcPr>
            <w:tcW w:w="5778" w:type="dxa"/>
          </w:tcPr>
          <w:p w14:paraId="6C3B0ED9" w14:textId="77777777" w:rsidR="00BC3148" w:rsidRDefault="00DF2BA2">
            <w:pPr>
              <w:spacing w:after="0" w:line="240" w:lineRule="auto"/>
              <w:rPr>
                <w:rStyle w:val="contentcontrolboundarysink"/>
                <w:sz w:val="21"/>
                <w:szCs w:val="21"/>
                <w:shd w:val="clear" w:color="auto" w:fill="FFFFFF"/>
              </w:rPr>
            </w:pPr>
            <w:r>
              <w:rPr>
                <w:rStyle w:val="contentcontrolboundarysink"/>
                <w:sz w:val="21"/>
                <w:szCs w:val="21"/>
                <w:shd w:val="clear" w:color="auto" w:fill="FFFFFF"/>
              </w:rPr>
              <w:t>asa50@le.ac.uk</w:t>
            </w:r>
          </w:p>
        </w:tc>
      </w:tr>
    </w:tbl>
    <w:p w14:paraId="6C3B0EDB" w14:textId="77777777" w:rsidR="00BC3148" w:rsidRDefault="00BC3148">
      <w:pPr>
        <w:spacing w:after="0" w:line="240" w:lineRule="auto"/>
        <w:rPr>
          <w:b/>
          <w:u w:val="single"/>
        </w:rPr>
      </w:pPr>
    </w:p>
    <w:p w14:paraId="6C3B0EDC" w14:textId="77777777" w:rsidR="00BC3148" w:rsidRDefault="00DF2BA2">
      <w:pPr>
        <w:spacing w:after="0" w:line="240" w:lineRule="auto"/>
        <w:rPr>
          <w:b/>
          <w:i/>
        </w:rPr>
      </w:pPr>
      <w:r>
        <w:rPr>
          <w:b/>
        </w:rPr>
        <w:t xml:space="preserve">Section 2 – </w:t>
      </w:r>
      <w:r>
        <w:rPr>
          <w:b/>
          <w:i/>
        </w:rPr>
        <w:t>Project Information</w:t>
      </w:r>
    </w:p>
    <w:tbl>
      <w:tblPr>
        <w:tblStyle w:val="TableGrid"/>
        <w:tblW w:w="8985" w:type="dxa"/>
        <w:tblLayout w:type="fixed"/>
        <w:tblLook w:val="04A0" w:firstRow="1" w:lastRow="0" w:firstColumn="1" w:lastColumn="0" w:noHBand="0" w:noVBand="1"/>
      </w:tblPr>
      <w:tblGrid>
        <w:gridCol w:w="3315"/>
        <w:gridCol w:w="5417"/>
        <w:gridCol w:w="253"/>
      </w:tblGrid>
      <w:tr w:rsidR="00BC3148" w14:paraId="6C3B0EE0" w14:textId="77777777">
        <w:tc>
          <w:tcPr>
            <w:tcW w:w="3315" w:type="dxa"/>
            <w:shd w:val="clear" w:color="auto" w:fill="F2F2F2" w:themeFill="background1" w:themeFillShade="F2"/>
          </w:tcPr>
          <w:p w14:paraId="6C3B0EDD" w14:textId="77777777" w:rsidR="00BC3148" w:rsidRDefault="00DF2BA2">
            <w:pPr>
              <w:spacing w:after="0" w:line="240" w:lineRule="auto"/>
              <w:rPr>
                <w:b/>
              </w:rPr>
            </w:pPr>
            <w:r>
              <w:rPr>
                <w:b/>
              </w:rPr>
              <w:t>Project Title</w:t>
            </w:r>
          </w:p>
          <w:p w14:paraId="6C3B0EDE" w14:textId="77777777" w:rsidR="00BC3148" w:rsidRDefault="00BC3148">
            <w:pPr>
              <w:spacing w:after="0" w:line="240" w:lineRule="auto"/>
              <w:rPr>
                <w:b/>
              </w:rPr>
            </w:pPr>
          </w:p>
        </w:tc>
        <w:tc>
          <w:tcPr>
            <w:tcW w:w="5670" w:type="dxa"/>
            <w:gridSpan w:val="2"/>
          </w:tcPr>
          <w:p w14:paraId="6C3B0EDF" w14:textId="77777777" w:rsidR="00BC3148" w:rsidRDefault="00DF2BA2">
            <w:pPr>
              <w:spacing w:after="0" w:line="240" w:lineRule="auto"/>
            </w:pPr>
            <w:r>
              <w:rPr>
                <w:rStyle w:val="contentcontrolboundarysink"/>
                <w:sz w:val="21"/>
                <w:szCs w:val="21"/>
                <w:shd w:val="clear" w:color="auto" w:fill="FFFFFF"/>
                <w:lang w:val="en-US"/>
              </w:rPr>
              <w:t>​</w:t>
            </w:r>
            <w:r>
              <w:rPr>
                <w:rStyle w:val="normaltextrun"/>
                <w:sz w:val="21"/>
                <w:szCs w:val="21"/>
                <w:shd w:val="clear" w:color="auto" w:fill="FFFFFF"/>
                <w:lang w:val="en-US"/>
              </w:rPr>
              <w:t>Epigenetic regulation of myocardial cell signaling in multiple long-term conditions and frailty</w:t>
            </w:r>
            <w:r>
              <w:rPr>
                <w:rStyle w:val="contentcontrolboundarysink"/>
                <w:sz w:val="21"/>
                <w:szCs w:val="21"/>
                <w:shd w:val="clear" w:color="auto" w:fill="FFFFFF"/>
                <w:lang w:val="en-US"/>
              </w:rPr>
              <w:t>​</w:t>
            </w:r>
            <w:r>
              <w:rPr>
                <w:rStyle w:val="eop"/>
                <w:sz w:val="20"/>
                <w:szCs w:val="20"/>
                <w:shd w:val="clear" w:color="auto" w:fill="FFFFFF"/>
              </w:rPr>
              <w:t> </w:t>
            </w:r>
          </w:p>
        </w:tc>
      </w:tr>
      <w:tr w:rsidR="00BC3148" w14:paraId="6C3B0EE4" w14:textId="77777777">
        <w:tc>
          <w:tcPr>
            <w:tcW w:w="3315" w:type="dxa"/>
            <w:vMerge w:val="restart"/>
            <w:shd w:val="clear" w:color="auto" w:fill="F2F2F2" w:themeFill="background1" w:themeFillShade="F2"/>
          </w:tcPr>
          <w:p w14:paraId="6C3B0EE1" w14:textId="77777777" w:rsidR="00BC3148" w:rsidRDefault="00DF2BA2">
            <w:pPr>
              <w:spacing w:after="0" w:line="240" w:lineRule="auto"/>
              <w:rPr>
                <w:b/>
              </w:rPr>
            </w:pPr>
            <w:r>
              <w:rPr>
                <w:b/>
              </w:rPr>
              <w:t>Project Highlights:</w:t>
            </w:r>
          </w:p>
        </w:tc>
        <w:tc>
          <w:tcPr>
            <w:tcW w:w="5417" w:type="dxa"/>
            <w:shd w:val="clear" w:color="auto" w:fill="F2F2F2" w:themeFill="background1" w:themeFillShade="F2"/>
          </w:tcPr>
          <w:p w14:paraId="6C3B0EE2" w14:textId="59ABDF03" w:rsidR="00BC3148" w:rsidRDefault="00DF2BA2">
            <w:pPr>
              <w:spacing w:after="0" w:line="240" w:lineRule="auto"/>
            </w:pPr>
            <w:r>
              <w:t xml:space="preserve">1. Epigenetics in cardiovascular disease </w:t>
            </w:r>
            <w:r w:rsidR="00C0668E">
              <w:t>and</w:t>
            </w:r>
            <w:r>
              <w:t xml:space="preserve"> frailty</w:t>
            </w:r>
          </w:p>
        </w:tc>
        <w:tc>
          <w:tcPr>
            <w:tcW w:w="253" w:type="dxa"/>
          </w:tcPr>
          <w:p w14:paraId="6C3B0EE3" w14:textId="77777777" w:rsidR="00BC3148" w:rsidRDefault="00BC3148">
            <w:pPr>
              <w:spacing w:after="0" w:line="240" w:lineRule="auto"/>
            </w:pPr>
          </w:p>
        </w:tc>
      </w:tr>
      <w:tr w:rsidR="00BC3148" w14:paraId="6C3B0EE8" w14:textId="77777777">
        <w:tc>
          <w:tcPr>
            <w:tcW w:w="3315" w:type="dxa"/>
            <w:vMerge/>
          </w:tcPr>
          <w:p w14:paraId="6C3B0EE5" w14:textId="77777777" w:rsidR="00BC3148" w:rsidRDefault="00BC3148">
            <w:pPr>
              <w:spacing w:after="0" w:line="240" w:lineRule="auto"/>
              <w:rPr>
                <w:b/>
              </w:rPr>
            </w:pPr>
          </w:p>
        </w:tc>
        <w:tc>
          <w:tcPr>
            <w:tcW w:w="5417" w:type="dxa"/>
            <w:shd w:val="clear" w:color="auto" w:fill="F2F2F2" w:themeFill="background1" w:themeFillShade="F2"/>
          </w:tcPr>
          <w:p w14:paraId="6C3B0EE6" w14:textId="77777777" w:rsidR="00BC3148" w:rsidRDefault="00DF2BA2">
            <w:pPr>
              <w:spacing w:after="0" w:line="240" w:lineRule="auto"/>
            </w:pPr>
            <w:r>
              <w:t>2. Integration of transcriptomics and chromatin organisation</w:t>
            </w:r>
          </w:p>
        </w:tc>
        <w:tc>
          <w:tcPr>
            <w:tcW w:w="253" w:type="dxa"/>
          </w:tcPr>
          <w:p w14:paraId="6C3B0EE7" w14:textId="77777777" w:rsidR="00BC3148" w:rsidRDefault="00BC3148">
            <w:pPr>
              <w:spacing w:after="0" w:line="240" w:lineRule="auto"/>
            </w:pPr>
          </w:p>
        </w:tc>
      </w:tr>
      <w:tr w:rsidR="00BC3148" w14:paraId="6C3B0EEC" w14:textId="77777777">
        <w:tc>
          <w:tcPr>
            <w:tcW w:w="3315" w:type="dxa"/>
            <w:vMerge/>
          </w:tcPr>
          <w:p w14:paraId="6C3B0EE9" w14:textId="77777777" w:rsidR="00BC3148" w:rsidRDefault="00BC3148">
            <w:pPr>
              <w:spacing w:after="0" w:line="240" w:lineRule="auto"/>
              <w:rPr>
                <w:b/>
              </w:rPr>
            </w:pPr>
          </w:p>
        </w:tc>
        <w:tc>
          <w:tcPr>
            <w:tcW w:w="5417" w:type="dxa"/>
            <w:shd w:val="clear" w:color="auto" w:fill="F2F2F2" w:themeFill="background1" w:themeFillShade="F2"/>
          </w:tcPr>
          <w:p w14:paraId="6C3B0EEA" w14:textId="77777777" w:rsidR="00BC3148" w:rsidRDefault="00DF2BA2">
            <w:pPr>
              <w:spacing w:after="0" w:line="240" w:lineRule="auto"/>
            </w:pPr>
            <w:r>
              <w:t>3. Bioinformatics and coding skills</w:t>
            </w:r>
          </w:p>
        </w:tc>
        <w:tc>
          <w:tcPr>
            <w:tcW w:w="253" w:type="dxa"/>
          </w:tcPr>
          <w:p w14:paraId="6C3B0EEB" w14:textId="77777777" w:rsidR="00BC3148" w:rsidRDefault="00BC3148">
            <w:pPr>
              <w:spacing w:after="0" w:line="240" w:lineRule="auto"/>
            </w:pPr>
          </w:p>
        </w:tc>
      </w:tr>
      <w:tr w:rsidR="00BC3148" w14:paraId="6C3B0EEE" w14:textId="77777777">
        <w:tc>
          <w:tcPr>
            <w:tcW w:w="8985" w:type="dxa"/>
            <w:gridSpan w:val="3"/>
            <w:shd w:val="clear" w:color="auto" w:fill="F2F2F2" w:themeFill="background1" w:themeFillShade="F2"/>
          </w:tcPr>
          <w:p w14:paraId="6C3B0EED" w14:textId="77777777" w:rsidR="00BC3148" w:rsidRDefault="00DF2BA2">
            <w:pPr>
              <w:spacing w:after="0" w:line="240" w:lineRule="auto"/>
              <w:rPr>
                <w:b/>
              </w:rPr>
            </w:pPr>
            <w:r>
              <w:rPr>
                <w:b/>
              </w:rPr>
              <w:t xml:space="preserve">Project Summary </w:t>
            </w:r>
          </w:p>
        </w:tc>
      </w:tr>
      <w:tr w:rsidR="00BC3148" w14:paraId="6C3B0EFC" w14:textId="77777777">
        <w:tc>
          <w:tcPr>
            <w:tcW w:w="8985" w:type="dxa"/>
            <w:gridSpan w:val="3"/>
          </w:tcPr>
          <w:p w14:paraId="6C3B0EEF" w14:textId="5C8C9DF7" w:rsidR="00BC3148" w:rsidRDefault="00DF2BA2">
            <w:pPr>
              <w:spacing w:after="0" w:line="240" w:lineRule="auto"/>
              <w:rPr>
                <w:rStyle w:val="normaltextrun"/>
                <w:sz w:val="21"/>
                <w:szCs w:val="21"/>
                <w:shd w:val="clear" w:color="auto" w:fill="FFFFFF"/>
                <w:lang w:val="en-US"/>
              </w:rPr>
            </w:pPr>
            <w:r>
              <w:rPr>
                <w:rStyle w:val="normaltextrun"/>
                <w:b/>
                <w:bCs/>
                <w:sz w:val="20"/>
                <w:szCs w:val="20"/>
                <w:shd w:val="clear" w:color="auto" w:fill="FFFFFF"/>
                <w:lang w:val="en-US"/>
              </w:rPr>
              <w:t>Background</w:t>
            </w:r>
            <w:r>
              <w:rPr>
                <w:rStyle w:val="normaltextrun"/>
                <w:sz w:val="20"/>
                <w:szCs w:val="20"/>
                <w:shd w:val="clear" w:color="auto" w:fill="FFFFFF"/>
                <w:lang w:val="en-US"/>
              </w:rPr>
              <w:t xml:space="preserve">: </w:t>
            </w:r>
            <w:r>
              <w:rPr>
                <w:rStyle w:val="contentcontrolboundarysink"/>
                <w:sz w:val="21"/>
                <w:szCs w:val="21"/>
                <w:shd w:val="clear" w:color="auto" w:fill="FFFFFF"/>
                <w:lang w:val="en-US"/>
              </w:rPr>
              <w:t>​</w:t>
            </w:r>
            <w:r>
              <w:rPr>
                <w:rStyle w:val="normaltextrun"/>
                <w:sz w:val="21"/>
                <w:szCs w:val="21"/>
                <w:shd w:val="clear" w:color="auto" w:fill="FFFFFF"/>
                <w:lang w:val="en-US"/>
              </w:rPr>
              <w:t xml:space="preserve">Multiple long-term conditions (MLTC) are associated with the development of the frailty phenotype, a condition characterized by increased susceptibility to injury or metabolic insults. Improved understanding of the mechanisms underlying these changes could identify new therapeutic targets or strategies to improve clinical outcomes and quality of life in this high-risk population. We have shown that MLTC are associated with specific cellular changes in human myocardium that are consistent with biological ageing; a constellation of processes including </w:t>
            </w:r>
            <w:proofErr w:type="spellStart"/>
            <w:r>
              <w:rPr>
                <w:rStyle w:val="normaltextrun"/>
                <w:sz w:val="21"/>
                <w:szCs w:val="21"/>
                <w:shd w:val="clear" w:color="auto" w:fill="FFFFFF"/>
                <w:lang w:val="en-US"/>
              </w:rPr>
              <w:t>immunosenescence</w:t>
            </w:r>
            <w:proofErr w:type="spellEnd"/>
            <w:r>
              <w:rPr>
                <w:rStyle w:val="normaltextrun"/>
                <w:sz w:val="21"/>
                <w:szCs w:val="21"/>
                <w:shd w:val="clear" w:color="auto" w:fill="FFFFFF"/>
                <w:lang w:val="en-US"/>
              </w:rPr>
              <w:t xml:space="preserve">, DNA damage, metabolic switching, mitochondrial dysfunction, epigenetic dysregulation, and cell senescence. Also, our previous work altering these processes changes the susceptibility of human cardiomyocytes to metabolic stress in vitro, representing a potential mechanistic link between MLTC and clinical frailty. Many of the effects of MLTC on biological ageing are thought to be mediated via epigenetic mechanisms, although these are poorly defined. We have performed combined single nuclei RNA seq and ATAC seq in mouse hearts, but not yet in human hearts. This three-year PhD project aims to achieve this in human myocardial biopsies and to use established and novel systems biology techniques to explore underlying cellular processes, cell-cell interactions, and modifiable targets for intervention development. </w:t>
            </w:r>
          </w:p>
          <w:p w14:paraId="6C3B0EF0" w14:textId="77777777" w:rsidR="00BC3148" w:rsidRDefault="00BC3148">
            <w:pPr>
              <w:spacing w:after="0" w:line="240" w:lineRule="auto"/>
              <w:rPr>
                <w:b/>
                <w:bCs/>
              </w:rPr>
            </w:pPr>
          </w:p>
          <w:p w14:paraId="6C3B0EF1" w14:textId="77777777" w:rsidR="00BC3148" w:rsidRDefault="00DF2BA2">
            <w:pPr>
              <w:spacing w:after="0" w:line="240" w:lineRule="auto"/>
            </w:pPr>
            <w:r>
              <w:rPr>
                <w:noProof/>
              </w:rPr>
              <w:lastRenderedPageBreak/>
              <w:drawing>
                <wp:inline distT="0" distB="0" distL="0" distR="0" wp14:anchorId="6C3B0F05" wp14:editId="6C3B0F06">
                  <wp:extent cx="5572125" cy="3914775"/>
                  <wp:effectExtent l="0" t="0" r="0" b="0"/>
                  <wp:docPr id="1" name="Picture 671629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71629710"/>
                          <pic:cNvPicPr>
                            <a:picLocks noChangeAspect="1" noChangeArrowheads="1"/>
                          </pic:cNvPicPr>
                        </pic:nvPicPr>
                        <pic:blipFill>
                          <a:blip r:embed="rId10"/>
                          <a:stretch>
                            <a:fillRect/>
                          </a:stretch>
                        </pic:blipFill>
                        <pic:spPr bwMode="auto">
                          <a:xfrm>
                            <a:off x="0" y="0"/>
                            <a:ext cx="5572125" cy="3914775"/>
                          </a:xfrm>
                          <a:prstGeom prst="rect">
                            <a:avLst/>
                          </a:prstGeom>
                        </pic:spPr>
                      </pic:pic>
                    </a:graphicData>
                  </a:graphic>
                </wp:inline>
              </w:drawing>
            </w:r>
            <w:r>
              <w:br/>
            </w:r>
          </w:p>
          <w:p w14:paraId="6C3B0EF2" w14:textId="77777777" w:rsidR="00BC3148" w:rsidRDefault="00DF2BA2">
            <w:pPr>
              <w:spacing w:after="0" w:line="240" w:lineRule="auto"/>
              <w:rPr>
                <w:rStyle w:val="eop"/>
                <w:sz w:val="20"/>
                <w:szCs w:val="20"/>
                <w:shd w:val="clear" w:color="auto" w:fill="FFFFFF"/>
              </w:rPr>
            </w:pPr>
            <w:r>
              <w:rPr>
                <w:rStyle w:val="normaltextrun"/>
                <w:b/>
                <w:bCs/>
                <w:sz w:val="20"/>
                <w:szCs w:val="20"/>
                <w:shd w:val="clear" w:color="auto" w:fill="FFFFFF"/>
                <w:lang w:val="en-US"/>
              </w:rPr>
              <w:t>Aim</w:t>
            </w:r>
            <w:r>
              <w:rPr>
                <w:rStyle w:val="normaltextrun"/>
                <w:sz w:val="20"/>
                <w:szCs w:val="20"/>
                <w:shd w:val="clear" w:color="auto" w:fill="FFFFFF"/>
                <w:lang w:val="en-US"/>
              </w:rPr>
              <w:t xml:space="preserve">: </w:t>
            </w:r>
            <w:r>
              <w:rPr>
                <w:rStyle w:val="contentcontrolboundarysink"/>
                <w:sz w:val="21"/>
                <w:szCs w:val="21"/>
                <w:shd w:val="clear" w:color="auto" w:fill="FFFFFF"/>
                <w:lang w:val="en-US"/>
              </w:rPr>
              <w:t>​</w:t>
            </w:r>
            <w:r>
              <w:rPr>
                <w:rStyle w:val="normaltextrun"/>
                <w:sz w:val="21"/>
                <w:szCs w:val="21"/>
                <w:shd w:val="clear" w:color="auto" w:fill="FFFFFF"/>
                <w:lang w:val="en-US"/>
              </w:rPr>
              <w:t>To identify the genetic and epigenetic endotype of biological ageing in myocardial biopsies of people with biological ageing/ frailty.</w:t>
            </w:r>
            <w:r>
              <w:rPr>
                <w:rStyle w:val="contentcontrolboundarysink"/>
                <w:sz w:val="21"/>
                <w:szCs w:val="21"/>
                <w:shd w:val="clear" w:color="auto" w:fill="FFFFFF"/>
                <w:lang w:val="en-US"/>
              </w:rPr>
              <w:t>​</w:t>
            </w:r>
            <w:r>
              <w:rPr>
                <w:rStyle w:val="eop"/>
                <w:sz w:val="20"/>
                <w:szCs w:val="20"/>
                <w:shd w:val="clear" w:color="auto" w:fill="FFFFFF"/>
              </w:rPr>
              <w:t> </w:t>
            </w:r>
          </w:p>
          <w:p w14:paraId="6C3B0EF3" w14:textId="77777777" w:rsidR="00BC3148" w:rsidRDefault="00BC3148">
            <w:pPr>
              <w:spacing w:after="0" w:line="240" w:lineRule="auto"/>
              <w:rPr>
                <w:b/>
              </w:rPr>
            </w:pPr>
          </w:p>
          <w:p w14:paraId="6C3B0EF4" w14:textId="77777777" w:rsidR="00BC3148" w:rsidRDefault="00DF2BA2">
            <w:pPr>
              <w:pStyle w:val="paragraph"/>
              <w:spacing w:beforeAutospacing="0" w:after="0" w:afterAutospacing="0"/>
              <w:textAlignment w:val="baseline"/>
              <w:rPr>
                <w:rStyle w:val="contentcontrolboundarysink"/>
                <w:rFonts w:ascii="Calibri" w:hAnsi="Calibri" w:cs="Calibri"/>
                <w:sz w:val="21"/>
                <w:szCs w:val="21"/>
                <w:lang w:val="en-US"/>
              </w:rPr>
            </w:pPr>
            <w:r>
              <w:rPr>
                <w:rStyle w:val="normaltextrun"/>
                <w:rFonts w:ascii="Calibri" w:hAnsi="Calibri" w:cs="Calibri"/>
                <w:sz w:val="20"/>
                <w:szCs w:val="20"/>
                <w:lang w:val="en-US"/>
              </w:rPr>
              <w:t xml:space="preserve">Research Plan: </w:t>
            </w:r>
            <w:r>
              <w:rPr>
                <w:rStyle w:val="contentcontrolboundarysink"/>
                <w:rFonts w:ascii="Calibri" w:hAnsi="Calibri" w:cs="Calibri"/>
                <w:sz w:val="21"/>
                <w:szCs w:val="21"/>
                <w:lang w:val="en-US"/>
              </w:rPr>
              <w:t>​</w:t>
            </w:r>
          </w:p>
          <w:p w14:paraId="6C3B0EF5" w14:textId="77777777" w:rsidR="00BC3148" w:rsidRDefault="00DF2BA2">
            <w:pPr>
              <w:pStyle w:val="paragraph"/>
              <w:numPr>
                <w:ilvl w:val="0"/>
                <w:numId w:val="1"/>
              </w:numPr>
              <w:spacing w:beforeAutospacing="0" w:after="0" w:afterAutospacing="0"/>
              <w:textAlignment w:val="baseline"/>
              <w:rPr>
                <w:rStyle w:val="normaltextrun"/>
                <w:rFonts w:ascii="Calibri" w:hAnsi="Calibri" w:cs="Calibri"/>
                <w:sz w:val="21"/>
                <w:szCs w:val="21"/>
                <w:lang w:val="en-US"/>
              </w:rPr>
            </w:pPr>
            <w:r>
              <w:rPr>
                <w:rStyle w:val="normaltextrun"/>
                <w:rFonts w:ascii="Calibri" w:hAnsi="Calibri" w:cs="Calibri"/>
                <w:b/>
                <w:bCs/>
                <w:sz w:val="21"/>
                <w:szCs w:val="21"/>
                <w:lang w:val="en-US"/>
              </w:rPr>
              <w:t>Study 1</w:t>
            </w:r>
            <w:r>
              <w:rPr>
                <w:rStyle w:val="normaltextrun"/>
                <w:rFonts w:ascii="Calibri" w:hAnsi="Calibri" w:cs="Calibri"/>
                <w:sz w:val="21"/>
                <w:szCs w:val="21"/>
                <w:lang w:val="en-US"/>
              </w:rPr>
              <w:t xml:space="preserve">: A systematic review of single cell/ nuclei ATAC sequencing in cardiovascular disease. </w:t>
            </w:r>
          </w:p>
          <w:p w14:paraId="6C3B0EF6" w14:textId="77777777" w:rsidR="00BC3148" w:rsidRDefault="00DF2BA2">
            <w:pPr>
              <w:pStyle w:val="paragraph"/>
              <w:numPr>
                <w:ilvl w:val="0"/>
                <w:numId w:val="1"/>
              </w:numPr>
              <w:spacing w:beforeAutospacing="0" w:after="0" w:afterAutospacing="0"/>
              <w:textAlignment w:val="baseline"/>
              <w:rPr>
                <w:rStyle w:val="normaltextrun"/>
                <w:rFonts w:ascii="Calibri" w:hAnsi="Calibri" w:cs="Calibri"/>
                <w:sz w:val="21"/>
                <w:szCs w:val="21"/>
                <w:lang w:val="en-US"/>
              </w:rPr>
            </w:pPr>
            <w:r>
              <w:rPr>
                <w:rStyle w:val="normaltextrun"/>
                <w:rFonts w:ascii="Calibri" w:hAnsi="Calibri" w:cs="Calibri"/>
                <w:b/>
                <w:bCs/>
                <w:sz w:val="21"/>
                <w:szCs w:val="21"/>
                <w:lang w:val="en-US"/>
              </w:rPr>
              <w:t>Study 2</w:t>
            </w:r>
            <w:r>
              <w:rPr>
                <w:rStyle w:val="normaltextrun"/>
                <w:rFonts w:ascii="Calibri" w:hAnsi="Calibri" w:cs="Calibri"/>
                <w:sz w:val="21"/>
                <w:szCs w:val="21"/>
                <w:lang w:val="en-US"/>
              </w:rPr>
              <w:t xml:space="preserve">: Combined single nuclei RNA and ATAC sequencing in human myocardial biopsies using refinement of protocols established in mice. Biopsies have already been collected as part of the ongoing </w:t>
            </w:r>
            <w:proofErr w:type="spellStart"/>
            <w:r>
              <w:rPr>
                <w:rStyle w:val="normaltextrun"/>
                <w:rFonts w:ascii="Calibri" w:hAnsi="Calibri" w:cs="Calibri"/>
                <w:sz w:val="21"/>
                <w:szCs w:val="21"/>
                <w:lang w:val="en-US"/>
              </w:rPr>
              <w:t>ObCARD</w:t>
            </w:r>
            <w:proofErr w:type="spellEnd"/>
            <w:r>
              <w:rPr>
                <w:rStyle w:val="normaltextrun"/>
                <w:rFonts w:ascii="Calibri" w:hAnsi="Calibri" w:cs="Calibri"/>
                <w:sz w:val="21"/>
                <w:szCs w:val="21"/>
                <w:lang w:val="en-US"/>
              </w:rPr>
              <w:t xml:space="preserve"> study. </w:t>
            </w:r>
          </w:p>
          <w:p w14:paraId="6C3B0EF7" w14:textId="77777777" w:rsidR="00BC3148" w:rsidRDefault="00DF2BA2">
            <w:pPr>
              <w:pStyle w:val="paragraph"/>
              <w:numPr>
                <w:ilvl w:val="0"/>
                <w:numId w:val="1"/>
              </w:numPr>
              <w:spacing w:beforeAutospacing="0" w:after="0" w:afterAutospacing="0"/>
              <w:textAlignment w:val="baseline"/>
              <w:rPr>
                <w:rStyle w:val="normaltextrun"/>
                <w:rFonts w:ascii="Calibri" w:hAnsi="Calibri" w:cs="Calibri"/>
                <w:sz w:val="21"/>
                <w:szCs w:val="21"/>
                <w:lang w:val="en-US"/>
              </w:rPr>
            </w:pPr>
            <w:r>
              <w:rPr>
                <w:rStyle w:val="normaltextrun"/>
                <w:rFonts w:ascii="Calibri" w:hAnsi="Calibri" w:cs="Calibri"/>
                <w:b/>
                <w:bCs/>
                <w:sz w:val="21"/>
                <w:szCs w:val="21"/>
                <w:lang w:val="en-US"/>
              </w:rPr>
              <w:t>Study 3</w:t>
            </w:r>
            <w:r>
              <w:rPr>
                <w:rStyle w:val="normaltextrun"/>
                <w:rFonts w:ascii="Calibri" w:hAnsi="Calibri" w:cs="Calibri"/>
                <w:sz w:val="21"/>
                <w:szCs w:val="21"/>
                <w:lang w:val="en-US"/>
              </w:rPr>
              <w:t xml:space="preserve">. Bioinformatics analysis of combined RNA/ ATAC sequencing data in people with/ without MLTC, and people with/ without Frailty.  </w:t>
            </w:r>
          </w:p>
          <w:p w14:paraId="6C3B0EF8" w14:textId="77777777" w:rsidR="00BC3148" w:rsidRDefault="00DF2BA2">
            <w:pPr>
              <w:pStyle w:val="paragraph"/>
              <w:numPr>
                <w:ilvl w:val="0"/>
                <w:numId w:val="1"/>
              </w:numPr>
              <w:spacing w:beforeAutospacing="0" w:after="0" w:afterAutospacing="0"/>
              <w:textAlignment w:val="baseline"/>
              <w:rPr>
                <w:rStyle w:val="eop"/>
                <w:rFonts w:ascii="Calibri" w:hAnsi="Calibri" w:cs="Calibri"/>
                <w:sz w:val="20"/>
                <w:szCs w:val="20"/>
              </w:rPr>
            </w:pPr>
            <w:r>
              <w:rPr>
                <w:rStyle w:val="normaltextrun"/>
                <w:rFonts w:ascii="Calibri" w:hAnsi="Calibri" w:cs="Calibri"/>
                <w:b/>
                <w:bCs/>
                <w:sz w:val="21"/>
                <w:szCs w:val="21"/>
                <w:lang w:val="en-US"/>
              </w:rPr>
              <w:t>Study 4</w:t>
            </w:r>
            <w:r>
              <w:rPr>
                <w:rStyle w:val="normaltextrun"/>
                <w:rFonts w:ascii="Calibri" w:hAnsi="Calibri" w:cs="Calibri"/>
                <w:sz w:val="21"/>
                <w:szCs w:val="21"/>
                <w:lang w:val="en-US"/>
              </w:rPr>
              <w:t xml:space="preserve">. External validation of findings using targeted analysis of human myocardial biopsies from the VAL-CARD trial, the human cell atlas, and published GEO datasets. Training and development will focus on wet-lab techniques including DNA library construction and single nuclei RNA/ ATAC sequencing as well as targeted validation using FACS and QT PCR. Informatics skills development will focus on bioinformatics, systems biology, and machine learning. </w:t>
            </w:r>
            <w:r>
              <w:rPr>
                <w:rStyle w:val="contentcontrolboundarysink"/>
                <w:rFonts w:ascii="Calibri" w:hAnsi="Calibri" w:cs="Calibri"/>
                <w:sz w:val="21"/>
                <w:szCs w:val="21"/>
                <w:lang w:val="en-US"/>
              </w:rPr>
              <w:t>​</w:t>
            </w:r>
            <w:r>
              <w:rPr>
                <w:rStyle w:val="eop"/>
                <w:rFonts w:ascii="Calibri" w:hAnsi="Calibri" w:cs="Calibri"/>
                <w:sz w:val="20"/>
                <w:szCs w:val="20"/>
              </w:rPr>
              <w:t> </w:t>
            </w:r>
          </w:p>
          <w:p w14:paraId="6C3B0EF9" w14:textId="77777777" w:rsidR="00BC3148" w:rsidRDefault="00BC3148">
            <w:pPr>
              <w:pStyle w:val="paragraph"/>
              <w:spacing w:beforeAutospacing="0" w:after="0" w:afterAutospacing="0"/>
              <w:textAlignment w:val="baseline"/>
              <w:rPr>
                <w:rFonts w:ascii="Segoe UI" w:hAnsi="Segoe UI" w:cs="Segoe UI"/>
                <w:sz w:val="18"/>
                <w:szCs w:val="18"/>
              </w:rPr>
            </w:pPr>
          </w:p>
          <w:p w14:paraId="6C3B0EFA" w14:textId="77777777" w:rsidR="00BC3148" w:rsidRDefault="00DF2BA2">
            <w:pPr>
              <w:pStyle w:val="paragraph"/>
              <w:spacing w:beforeAutospacing="0" w:after="0" w:afterAutospacing="0"/>
              <w:ind w:right="-60"/>
              <w:textAlignment w:val="baseline"/>
              <w:rPr>
                <w:rFonts w:ascii="Segoe UI" w:hAnsi="Segoe UI" w:cs="Segoe UI"/>
                <w:sz w:val="18"/>
                <w:szCs w:val="18"/>
              </w:rPr>
            </w:pPr>
            <w:r>
              <w:rPr>
                <w:rStyle w:val="normaltextrun"/>
                <w:rFonts w:ascii="Calibri" w:hAnsi="Calibri" w:cs="Calibri"/>
                <w:b/>
                <w:bCs/>
                <w:sz w:val="20"/>
                <w:szCs w:val="20"/>
                <w:lang w:val="en-US"/>
              </w:rPr>
              <w:t>Expected outcomes and impact</w:t>
            </w:r>
            <w:r>
              <w:rPr>
                <w:rStyle w:val="normaltextrun"/>
                <w:rFonts w:ascii="Calibri" w:hAnsi="Calibri" w:cs="Calibri"/>
                <w:sz w:val="20"/>
                <w:szCs w:val="20"/>
                <w:lang w:val="en-US"/>
              </w:rPr>
              <w:t xml:space="preserve">: </w:t>
            </w:r>
            <w:r>
              <w:rPr>
                <w:rStyle w:val="contentcontrolboundarysink"/>
                <w:rFonts w:ascii="Calibri" w:hAnsi="Calibri" w:cs="Calibri"/>
                <w:sz w:val="21"/>
                <w:szCs w:val="21"/>
                <w:lang w:val="en-US"/>
              </w:rPr>
              <w:t>​</w:t>
            </w:r>
            <w:r>
              <w:rPr>
                <w:rStyle w:val="normaltextrun"/>
                <w:rFonts w:ascii="Calibri" w:hAnsi="Calibri" w:cs="Calibri"/>
                <w:sz w:val="21"/>
                <w:szCs w:val="21"/>
                <w:lang w:val="en-US"/>
              </w:rPr>
              <w:t xml:space="preserve">Single cell resolution has provided important new knowledge as to the cellular heterogeneity of common disease processes. We believe that this combined RNA/ ATAC approach to the study of human myocardium in people with MLTC will be unique and will confer key, modern research skills to the successful applicant. </w:t>
            </w:r>
            <w:r>
              <w:rPr>
                <w:rStyle w:val="contentcontrolboundarysink"/>
                <w:rFonts w:ascii="Calibri" w:hAnsi="Calibri" w:cs="Calibri"/>
                <w:sz w:val="21"/>
                <w:szCs w:val="21"/>
                <w:lang w:val="en-US"/>
              </w:rPr>
              <w:t>​</w:t>
            </w:r>
            <w:r>
              <w:rPr>
                <w:rStyle w:val="eop"/>
                <w:rFonts w:ascii="Calibri" w:hAnsi="Calibri" w:cs="Calibri"/>
                <w:sz w:val="20"/>
                <w:szCs w:val="20"/>
              </w:rPr>
              <w:t> </w:t>
            </w:r>
          </w:p>
          <w:p w14:paraId="6C3B0EFB" w14:textId="77777777" w:rsidR="00BC3148" w:rsidRDefault="00BC3148">
            <w:pPr>
              <w:spacing w:after="0" w:line="240" w:lineRule="auto"/>
              <w:rPr>
                <w:b/>
              </w:rPr>
            </w:pPr>
          </w:p>
        </w:tc>
      </w:tr>
      <w:tr w:rsidR="00BC3148" w14:paraId="6C3B0F01" w14:textId="77777777">
        <w:tc>
          <w:tcPr>
            <w:tcW w:w="8985" w:type="dxa"/>
            <w:gridSpan w:val="3"/>
          </w:tcPr>
          <w:p w14:paraId="6C3B0EFD" w14:textId="77777777" w:rsidR="00BC3148" w:rsidRDefault="00DF2BA2">
            <w:pPr>
              <w:spacing w:after="0" w:line="240" w:lineRule="auto"/>
              <w:rPr>
                <w:b/>
              </w:rPr>
            </w:pPr>
            <w:r>
              <w:rPr>
                <w:b/>
              </w:rPr>
              <w:lastRenderedPageBreak/>
              <w:t>References</w:t>
            </w:r>
          </w:p>
          <w:p w14:paraId="6C3B0EFE" w14:textId="77777777" w:rsidR="00BC3148" w:rsidRDefault="00BC3148">
            <w:pPr>
              <w:spacing w:after="0" w:line="240" w:lineRule="auto"/>
              <w:rPr>
                <w:b/>
              </w:rPr>
            </w:pPr>
          </w:p>
          <w:p w14:paraId="6C3B0EFF" w14:textId="77777777" w:rsidR="00BC3148" w:rsidRDefault="00BC3148">
            <w:pPr>
              <w:spacing w:after="0" w:line="240" w:lineRule="auto"/>
              <w:rPr>
                <w:b/>
              </w:rPr>
            </w:pPr>
          </w:p>
          <w:p w14:paraId="6C3B0F00" w14:textId="77777777" w:rsidR="00BC3148" w:rsidRDefault="00BC3148">
            <w:pPr>
              <w:spacing w:after="0" w:line="240" w:lineRule="auto"/>
              <w:rPr>
                <w:b/>
              </w:rPr>
            </w:pPr>
          </w:p>
        </w:tc>
      </w:tr>
    </w:tbl>
    <w:p w14:paraId="6C3B0F02" w14:textId="77777777" w:rsidR="00BC3148" w:rsidRDefault="00BC3148">
      <w:pPr>
        <w:spacing w:after="0" w:line="240" w:lineRule="auto"/>
        <w:rPr>
          <w:b/>
          <w:u w:val="single"/>
        </w:rPr>
      </w:pPr>
    </w:p>
    <w:p w14:paraId="6C3B0F03" w14:textId="77777777" w:rsidR="00BC3148" w:rsidRDefault="00BC3148">
      <w:pPr>
        <w:spacing w:after="0" w:line="240" w:lineRule="auto"/>
      </w:pPr>
    </w:p>
    <w:p w14:paraId="6C3B0F04" w14:textId="77777777" w:rsidR="00BC3148" w:rsidRDefault="00BC3148"/>
    <w:sectPr w:rsidR="00BC3148">
      <w:pgSz w:w="11906" w:h="16838"/>
      <w:pgMar w:top="1276" w:right="1135" w:bottom="709" w:left="1133"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158D"/>
    <w:multiLevelType w:val="multilevel"/>
    <w:tmpl w:val="07D494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0B00699"/>
    <w:multiLevelType w:val="multilevel"/>
    <w:tmpl w:val="964C594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148"/>
    <w:rsid w:val="003370E8"/>
    <w:rsid w:val="007C4DEB"/>
    <w:rsid w:val="00BC3148"/>
    <w:rsid w:val="00C0668E"/>
    <w:rsid w:val="00DF2BA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B0EB9"/>
  <w15:docId w15:val="{C9051C92-9FD8-41AE-A184-D5AA8BE0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C81"/>
    <w:pPr>
      <w:spacing w:after="160" w:line="259" w:lineRule="auto"/>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controlboundarysink">
    <w:name w:val="contentcontrolboundarysink"/>
    <w:basedOn w:val="DefaultParagraphFont"/>
    <w:qFormat/>
    <w:rsid w:val="00CB24BA"/>
  </w:style>
  <w:style w:type="character" w:customStyle="1" w:styleId="normaltextrun">
    <w:name w:val="normaltextrun"/>
    <w:basedOn w:val="DefaultParagraphFont"/>
    <w:qFormat/>
    <w:rsid w:val="00CB24BA"/>
  </w:style>
  <w:style w:type="character" w:customStyle="1" w:styleId="eop">
    <w:name w:val="eop"/>
    <w:basedOn w:val="DefaultParagraphFont"/>
    <w:qFormat/>
    <w:rsid w:val="00CB24BA"/>
  </w:style>
  <w:style w:type="character" w:styleId="LineNumber">
    <w:name w:val="line numbe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paragraph">
    <w:name w:val="paragraph"/>
    <w:basedOn w:val="Normal"/>
    <w:qFormat/>
    <w:rsid w:val="00CB24BA"/>
    <w:pPr>
      <w:spacing w:beforeAutospacing="1"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066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066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4DEB"/>
    <w:pPr>
      <w:suppressAutoHyphens w:val="0"/>
    </w:pPr>
    <w:rPr>
      <w:rFonts w:ascii="Calibri" w:eastAsia="Calibri" w:hAnsi="Calibri" w:cs="Calibri"/>
      <w:color w:val="000000"/>
      <w:lang w:eastAsia="en-GB"/>
    </w:rPr>
  </w:style>
  <w:style w:type="character" w:styleId="Hyperlink">
    <w:name w:val="Hyperlink"/>
    <w:basedOn w:val="DefaultParagraphFont"/>
    <w:uiPriority w:val="99"/>
    <w:unhideWhenUsed/>
    <w:rsid w:val="003370E8"/>
    <w:rPr>
      <w:color w:val="0563C1" w:themeColor="hyperlink"/>
      <w:u w:val="single"/>
    </w:rPr>
  </w:style>
  <w:style w:type="character" w:styleId="UnresolvedMention">
    <w:name w:val="Unresolved Mention"/>
    <w:basedOn w:val="DefaultParagraphFont"/>
    <w:uiPriority w:val="99"/>
    <w:semiHidden/>
    <w:unhideWhenUsed/>
    <w:rsid w:val="00337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jm19@le.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mailto:mw299@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7969C4A9A0BC46AE83277D8D536E76" ma:contentTypeVersion="2" ma:contentTypeDescription="Create a new document." ma:contentTypeScope="" ma:versionID="19eea4466c83e97bee1d2662b2350947">
  <xsd:schema xmlns:xsd="http://www.w3.org/2001/XMLSchema" xmlns:xs="http://www.w3.org/2001/XMLSchema" xmlns:p="http://schemas.microsoft.com/office/2006/metadata/properties" xmlns:ns2="b42c51a1-7bb1-470c-96c1-d1b7d2ec83d0" targetNamespace="http://schemas.microsoft.com/office/2006/metadata/properties" ma:root="true" ma:fieldsID="5c10ec5cbab0982efd95bb8c8ab5e692" ns2:_="">
    <xsd:import namespace="b42c51a1-7bb1-470c-96c1-d1b7d2ec83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c51a1-7bb1-470c-96c1-d1b7d2ec8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DDBE9C-4064-4511-A280-CC02BFCB7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c51a1-7bb1-470c-96c1-d1b7d2ec8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3DF101-962D-4178-8406-1A1F83429516}">
  <ds:schemaRefs>
    <ds:schemaRef ds:uri="http://schemas.microsoft.com/sharepoint/v3/contenttype/forms"/>
  </ds:schemaRefs>
</ds:datastoreItem>
</file>

<file path=customXml/itemProps3.xml><?xml version="1.0" encoding="utf-8"?>
<ds:datastoreItem xmlns:ds="http://schemas.openxmlformats.org/officeDocument/2006/customXml" ds:itemID="{4D488212-6D3B-4FE9-AF67-CC5023ABF9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544</Words>
  <Characters>3102</Characters>
  <Application>Microsoft Office Word</Application>
  <DocSecurity>0</DocSecurity>
  <Lines>25</Lines>
  <Paragraphs>7</Paragraphs>
  <ScaleCrop>false</ScaleCrop>
  <Company>University of Leicester</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dc:description/>
  <cp:lastModifiedBy>White, Karen L.</cp:lastModifiedBy>
  <cp:revision>3</cp:revision>
  <dcterms:created xsi:type="dcterms:W3CDTF">2023-03-14T13:36:00Z</dcterms:created>
  <dcterms:modified xsi:type="dcterms:W3CDTF">2023-03-14T14:16:00Z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0x010100DC7969C4A9A0BC46AE83277D8D536E76</vt:lpwstr>
  </property>
</Properties>
</file>