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65EC0F6A" w:rsidR="00066C81" w:rsidRPr="002B13F9" w:rsidRDefault="002B13F9" w:rsidP="00066C81">
      <w:pPr>
        <w:spacing w:after="0" w:line="240" w:lineRule="auto"/>
        <w:rPr>
          <w:b/>
          <w:bCs/>
        </w:rPr>
      </w:pPr>
      <w:r w:rsidRPr="002B13F9">
        <w:rPr>
          <w:b/>
          <w:bCs/>
        </w:rPr>
        <w:t>University of Leicester</w:t>
      </w:r>
    </w:p>
    <w:p w14:paraId="2C183D49" w14:textId="77777777" w:rsidR="002B13F9" w:rsidRDefault="002B13F9"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171CD091">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3F5E293D" w:rsidR="00066C81" w:rsidRPr="00066C81" w:rsidRDefault="00A84365" w:rsidP="171CD091">
            <w:pPr>
              <w:spacing w:line="259" w:lineRule="auto"/>
            </w:pPr>
            <w:r>
              <w:t xml:space="preserve">BRC </w:t>
            </w:r>
            <w:r w:rsidR="53CFFED8" w:rsidRPr="171CD091">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55DB2C4E">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39AB316F" w:rsidR="00066C81" w:rsidRPr="00066C81" w:rsidRDefault="5B764E21" w:rsidP="00066C81">
            <w:r>
              <w:t xml:space="preserve">Dr </w:t>
            </w:r>
            <w:r w:rsidR="00950663">
              <w:t>Robert Free</w:t>
            </w:r>
          </w:p>
        </w:tc>
      </w:tr>
      <w:tr w:rsidR="00066C81" w:rsidRPr="00066C81" w14:paraId="62BA6F73" w14:textId="77777777" w:rsidTr="55DB2C4E">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22A82E57" w:rsidR="00066C81" w:rsidRPr="00066C81" w:rsidRDefault="00950663" w:rsidP="00066C81">
            <w:r w:rsidRPr="00950663">
              <w:t>Computing and Mathematical Sciences</w:t>
            </w:r>
          </w:p>
        </w:tc>
      </w:tr>
      <w:tr w:rsidR="00A84365" w:rsidRPr="00066C81" w14:paraId="0708F96B" w14:textId="77777777" w:rsidTr="55DB2C4E">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5CEC8C6B" w:rsidR="00A84365" w:rsidRPr="00066C81" w:rsidRDefault="002B13F9" w:rsidP="00066C81">
            <w:hyperlink r:id="rId8" w:history="1">
              <w:r w:rsidRPr="00552F70">
                <w:rPr>
                  <w:rStyle w:val="Hyperlink"/>
                </w:rPr>
                <w:t>rob.free@leicester.ac.uk</w:t>
              </w:r>
            </w:hyperlink>
            <w: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55DB2C4E">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2675DD80" w:rsidR="00066C81" w:rsidRDefault="23240C4C" w:rsidP="00ED69E6">
            <w:r>
              <w:t xml:space="preserve">Prof </w:t>
            </w:r>
            <w:r w:rsidR="00950663">
              <w:t>Natalie Armstrong </w:t>
            </w:r>
          </w:p>
        </w:tc>
      </w:tr>
      <w:tr w:rsidR="00066C81" w14:paraId="147DA613" w14:textId="77777777" w:rsidTr="55DB2C4E">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291CBF5E" w:rsidR="00066C81" w:rsidRDefault="00950663" w:rsidP="00ED69E6">
            <w:r w:rsidRPr="00950663">
              <w:t>Department of Population Health Sciences</w:t>
            </w:r>
          </w:p>
        </w:tc>
      </w:tr>
      <w:tr w:rsidR="00A84365" w14:paraId="5C5F8BEE" w14:textId="77777777" w:rsidTr="55DB2C4E">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698B6F42" w:rsidR="00A84365" w:rsidRDefault="002B13F9" w:rsidP="00ED69E6">
            <w:hyperlink r:id="rId9" w:history="1">
              <w:r w:rsidRPr="00552F70">
                <w:rPr>
                  <w:rStyle w:val="Hyperlink"/>
                </w:rPr>
                <w:t>Natalie.Armstrong@le.ac.uk</w:t>
              </w:r>
            </w:hyperlink>
            <w: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132640ED">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CEAE41A" w:rsidR="00066C81" w:rsidRDefault="60443F2F" w:rsidP="00ED69E6">
            <w:r>
              <w:t xml:space="preserve">Dr </w:t>
            </w:r>
            <w:r w:rsidR="00950663">
              <w:t>Harriet Walter</w:t>
            </w:r>
            <w:r w:rsidR="00BF74D1">
              <w:t xml:space="preserve"> – Leicester Cancer Research Centre</w:t>
            </w:r>
          </w:p>
        </w:tc>
      </w:tr>
    </w:tbl>
    <w:p w14:paraId="610696F3" w14:textId="77777777" w:rsidR="00066C81" w:rsidRDefault="00066C81" w:rsidP="00066C81">
      <w:pPr>
        <w:spacing w:after="0" w:line="240" w:lineRule="auto"/>
        <w:rPr>
          <w:b/>
          <w:u w:val="single"/>
        </w:rPr>
      </w:pPr>
    </w:p>
    <w:p w14:paraId="54D9DE83" w14:textId="77777777" w:rsidR="00066C81" w:rsidRPr="00950663" w:rsidRDefault="00066C81" w:rsidP="00066C81">
      <w:pPr>
        <w:spacing w:after="0" w:line="240" w:lineRule="auto"/>
      </w:pPr>
      <w:r w:rsidRPr="006B05B2">
        <w:rPr>
          <w:b/>
        </w:rPr>
        <w:t xml:space="preserve">Section 2 – </w:t>
      </w:r>
      <w:r w:rsidRPr="006B05B2">
        <w:rPr>
          <w:b/>
          <w:i/>
        </w:rPr>
        <w:t xml:space="preserve">Project </w:t>
      </w:r>
      <w:r w:rsidRPr="00950663">
        <w:t>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55DB2C4E">
        <w:tc>
          <w:tcPr>
            <w:tcW w:w="1980" w:type="dxa"/>
            <w:shd w:val="clear" w:color="auto" w:fill="F2F2F2" w:themeFill="background1" w:themeFillShade="F2"/>
          </w:tcPr>
          <w:p w14:paraId="453A398E" w14:textId="77777777" w:rsidR="00066C81" w:rsidRPr="0045089B" w:rsidRDefault="00066C81" w:rsidP="00ED69E6">
            <w:pPr>
              <w:rPr>
                <w:rFonts w:asciiTheme="minorHAnsi" w:hAnsiTheme="minorHAnsi" w:cstheme="minorHAnsi"/>
                <w:b/>
                <w:bCs/>
              </w:rPr>
            </w:pPr>
            <w:r w:rsidRPr="0045089B">
              <w:rPr>
                <w:rFonts w:asciiTheme="minorHAnsi" w:hAnsiTheme="minorHAnsi" w:cstheme="minorHAnsi"/>
                <w:b/>
                <w:bCs/>
              </w:rPr>
              <w:t>Project Title</w:t>
            </w:r>
          </w:p>
          <w:p w14:paraId="65BEE0FD" w14:textId="77777777" w:rsidR="00066C81" w:rsidRPr="0045089B" w:rsidRDefault="00066C81" w:rsidP="00ED69E6">
            <w:pPr>
              <w:rPr>
                <w:rFonts w:asciiTheme="minorHAnsi" w:hAnsiTheme="minorHAnsi" w:cstheme="minorHAnsi"/>
              </w:rPr>
            </w:pPr>
          </w:p>
        </w:tc>
        <w:tc>
          <w:tcPr>
            <w:tcW w:w="7036" w:type="dxa"/>
            <w:gridSpan w:val="2"/>
          </w:tcPr>
          <w:p w14:paraId="66CA3308" w14:textId="369DC3D4" w:rsidR="00066C81" w:rsidRPr="0045089B" w:rsidRDefault="00950663" w:rsidP="00ED69E6">
            <w:pPr>
              <w:rPr>
                <w:rFonts w:asciiTheme="minorHAnsi" w:hAnsiTheme="minorHAnsi" w:cstheme="minorHAnsi"/>
              </w:rPr>
            </w:pPr>
            <w:r w:rsidRPr="0045089B">
              <w:rPr>
                <w:rFonts w:asciiTheme="minorHAnsi" w:hAnsiTheme="minorHAnsi" w:cstheme="minorHAnsi"/>
              </w:rPr>
              <w:t>Integrating cancer genomics data to support clinical decision making in the era of precision medicine</w:t>
            </w:r>
          </w:p>
        </w:tc>
      </w:tr>
      <w:tr w:rsidR="00066C81" w14:paraId="2503C890" w14:textId="77777777" w:rsidTr="55DB2C4E">
        <w:tc>
          <w:tcPr>
            <w:tcW w:w="1980" w:type="dxa"/>
            <w:vMerge w:val="restart"/>
            <w:shd w:val="clear" w:color="auto" w:fill="F2F2F2" w:themeFill="background1" w:themeFillShade="F2"/>
          </w:tcPr>
          <w:p w14:paraId="134BC052" w14:textId="77777777" w:rsidR="00066C81" w:rsidRPr="0045089B" w:rsidRDefault="00066C81" w:rsidP="00ED69E6">
            <w:pPr>
              <w:rPr>
                <w:rFonts w:asciiTheme="minorHAnsi" w:hAnsiTheme="minorHAnsi" w:cstheme="minorHAnsi"/>
                <w:b/>
              </w:rPr>
            </w:pPr>
            <w:r w:rsidRPr="0045089B">
              <w:rPr>
                <w:rFonts w:asciiTheme="minorHAnsi" w:hAnsiTheme="minorHAnsi" w:cstheme="minorHAnsi"/>
                <w:b/>
              </w:rPr>
              <w:t>Project Highlights:</w:t>
            </w:r>
          </w:p>
        </w:tc>
        <w:tc>
          <w:tcPr>
            <w:tcW w:w="425" w:type="dxa"/>
            <w:shd w:val="clear" w:color="auto" w:fill="F2F2F2" w:themeFill="background1" w:themeFillShade="F2"/>
          </w:tcPr>
          <w:p w14:paraId="5C1DD7CA" w14:textId="77777777" w:rsidR="00066C81" w:rsidRPr="0045089B" w:rsidRDefault="00066C81" w:rsidP="00ED69E6">
            <w:pPr>
              <w:rPr>
                <w:rFonts w:asciiTheme="minorHAnsi" w:hAnsiTheme="minorHAnsi" w:cstheme="minorHAnsi"/>
              </w:rPr>
            </w:pPr>
            <w:r w:rsidRPr="0045089B">
              <w:rPr>
                <w:rFonts w:asciiTheme="minorHAnsi" w:hAnsiTheme="minorHAnsi" w:cstheme="minorHAnsi"/>
              </w:rPr>
              <w:t>1.</w:t>
            </w:r>
          </w:p>
        </w:tc>
        <w:tc>
          <w:tcPr>
            <w:tcW w:w="6611" w:type="dxa"/>
          </w:tcPr>
          <w:p w14:paraId="7FEC3D97" w14:textId="673B6A7F" w:rsidR="00066C81" w:rsidRPr="0045089B" w:rsidRDefault="00F765A8" w:rsidP="00ED69E6">
            <w:pPr>
              <w:rPr>
                <w:rFonts w:asciiTheme="minorHAnsi" w:hAnsiTheme="minorHAnsi" w:cstheme="minorHAnsi"/>
              </w:rPr>
            </w:pPr>
            <w:r w:rsidRPr="0045089B">
              <w:rPr>
                <w:rFonts w:asciiTheme="minorHAnsi" w:hAnsiTheme="minorHAnsi" w:cstheme="minorHAnsi"/>
              </w:rPr>
              <w:t xml:space="preserve">Explore how data and 'omics is currently </w:t>
            </w:r>
            <w:r w:rsidR="000252D8">
              <w:rPr>
                <w:rFonts w:asciiTheme="minorHAnsi" w:hAnsiTheme="minorHAnsi" w:cstheme="minorHAnsi"/>
              </w:rPr>
              <w:t xml:space="preserve">integrated and </w:t>
            </w:r>
            <w:r w:rsidRPr="0045089B">
              <w:rPr>
                <w:rFonts w:asciiTheme="minorHAnsi" w:hAnsiTheme="minorHAnsi" w:cstheme="minorHAnsi"/>
              </w:rPr>
              <w:t xml:space="preserve">used in </w:t>
            </w:r>
            <w:r w:rsidR="000252D8">
              <w:rPr>
                <w:rFonts w:asciiTheme="minorHAnsi" w:hAnsiTheme="minorHAnsi" w:cstheme="minorHAnsi"/>
              </w:rPr>
              <w:t xml:space="preserve">the </w:t>
            </w:r>
            <w:r w:rsidRPr="0045089B">
              <w:rPr>
                <w:rFonts w:asciiTheme="minorHAnsi" w:hAnsiTheme="minorHAnsi" w:cstheme="minorHAnsi"/>
              </w:rPr>
              <w:t xml:space="preserve">clinical </w:t>
            </w:r>
            <w:r w:rsidR="000252D8">
              <w:rPr>
                <w:rFonts w:asciiTheme="minorHAnsi" w:hAnsiTheme="minorHAnsi" w:cstheme="minorHAnsi"/>
              </w:rPr>
              <w:t xml:space="preserve">management </w:t>
            </w:r>
            <w:r w:rsidRPr="0045089B">
              <w:rPr>
                <w:rFonts w:asciiTheme="minorHAnsi" w:hAnsiTheme="minorHAnsi" w:cstheme="minorHAnsi"/>
              </w:rPr>
              <w:t xml:space="preserve">of </w:t>
            </w:r>
            <w:r w:rsidR="00BF74D1">
              <w:rPr>
                <w:rFonts w:asciiTheme="minorHAnsi" w:hAnsiTheme="minorHAnsi" w:cstheme="minorHAnsi"/>
              </w:rPr>
              <w:t>blood</w:t>
            </w:r>
            <w:r w:rsidR="00BF74D1" w:rsidRPr="0045089B">
              <w:rPr>
                <w:rFonts w:asciiTheme="minorHAnsi" w:hAnsiTheme="minorHAnsi" w:cstheme="minorHAnsi"/>
              </w:rPr>
              <w:t xml:space="preserve"> </w:t>
            </w:r>
            <w:r w:rsidRPr="0045089B">
              <w:rPr>
                <w:rFonts w:asciiTheme="minorHAnsi" w:hAnsiTheme="minorHAnsi" w:cstheme="minorHAnsi"/>
              </w:rPr>
              <w:t>cancers</w:t>
            </w:r>
          </w:p>
        </w:tc>
      </w:tr>
      <w:tr w:rsidR="00066C81" w14:paraId="0ED3CAC5" w14:textId="77777777" w:rsidTr="55DB2C4E">
        <w:tc>
          <w:tcPr>
            <w:tcW w:w="1980" w:type="dxa"/>
            <w:vMerge/>
          </w:tcPr>
          <w:p w14:paraId="1D31F5C9" w14:textId="77777777" w:rsidR="00066C81" w:rsidRPr="0045089B" w:rsidRDefault="00066C81" w:rsidP="00ED69E6">
            <w:pPr>
              <w:rPr>
                <w:rFonts w:asciiTheme="minorHAnsi" w:hAnsiTheme="minorHAnsi" w:cstheme="minorHAnsi"/>
                <w:b/>
              </w:rPr>
            </w:pPr>
          </w:p>
        </w:tc>
        <w:tc>
          <w:tcPr>
            <w:tcW w:w="425" w:type="dxa"/>
            <w:shd w:val="clear" w:color="auto" w:fill="F2F2F2" w:themeFill="background1" w:themeFillShade="F2"/>
          </w:tcPr>
          <w:p w14:paraId="20AEDFB6" w14:textId="77777777" w:rsidR="00066C81" w:rsidRPr="0045089B" w:rsidRDefault="00066C81" w:rsidP="00ED69E6">
            <w:pPr>
              <w:rPr>
                <w:rFonts w:asciiTheme="minorHAnsi" w:hAnsiTheme="minorHAnsi" w:cstheme="minorHAnsi"/>
              </w:rPr>
            </w:pPr>
            <w:r w:rsidRPr="0045089B">
              <w:rPr>
                <w:rFonts w:asciiTheme="minorHAnsi" w:hAnsiTheme="minorHAnsi" w:cstheme="minorHAnsi"/>
              </w:rPr>
              <w:t>2.</w:t>
            </w:r>
          </w:p>
        </w:tc>
        <w:tc>
          <w:tcPr>
            <w:tcW w:w="6611" w:type="dxa"/>
          </w:tcPr>
          <w:p w14:paraId="6FC90BBA" w14:textId="6D718325" w:rsidR="00066C81" w:rsidRPr="0045089B" w:rsidRDefault="00F765A8" w:rsidP="00ED69E6">
            <w:pPr>
              <w:rPr>
                <w:rFonts w:asciiTheme="minorHAnsi" w:hAnsiTheme="minorHAnsi" w:cstheme="minorHAnsi"/>
              </w:rPr>
            </w:pPr>
            <w:r w:rsidRPr="0045089B">
              <w:rPr>
                <w:rFonts w:asciiTheme="minorHAnsi" w:hAnsiTheme="minorHAnsi" w:cstheme="minorHAnsi"/>
              </w:rPr>
              <w:t xml:space="preserve">Integrate complex data into clinical decision support </w:t>
            </w:r>
            <w:r w:rsidR="00BF74D1">
              <w:rPr>
                <w:rFonts w:asciiTheme="minorHAnsi" w:hAnsiTheme="minorHAnsi" w:cstheme="minorHAnsi"/>
              </w:rPr>
              <w:t>processes</w:t>
            </w:r>
          </w:p>
        </w:tc>
      </w:tr>
      <w:tr w:rsidR="00066C81" w14:paraId="5BF3F8A4" w14:textId="77777777" w:rsidTr="55DB2C4E">
        <w:tc>
          <w:tcPr>
            <w:tcW w:w="1980" w:type="dxa"/>
            <w:vMerge/>
          </w:tcPr>
          <w:p w14:paraId="6E16A621" w14:textId="77777777" w:rsidR="00066C81" w:rsidRPr="0045089B" w:rsidRDefault="00066C81" w:rsidP="00ED69E6">
            <w:pPr>
              <w:rPr>
                <w:rFonts w:asciiTheme="minorHAnsi" w:hAnsiTheme="minorHAnsi" w:cstheme="minorHAnsi"/>
                <w:b/>
              </w:rPr>
            </w:pPr>
          </w:p>
        </w:tc>
        <w:tc>
          <w:tcPr>
            <w:tcW w:w="425" w:type="dxa"/>
            <w:shd w:val="clear" w:color="auto" w:fill="F2F2F2" w:themeFill="background1" w:themeFillShade="F2"/>
          </w:tcPr>
          <w:p w14:paraId="75F03386" w14:textId="77777777" w:rsidR="00066C81" w:rsidRPr="0045089B" w:rsidRDefault="00066C81" w:rsidP="00ED69E6">
            <w:pPr>
              <w:rPr>
                <w:rFonts w:asciiTheme="minorHAnsi" w:hAnsiTheme="minorHAnsi" w:cstheme="minorHAnsi"/>
              </w:rPr>
            </w:pPr>
            <w:r w:rsidRPr="0045089B">
              <w:rPr>
                <w:rFonts w:asciiTheme="minorHAnsi" w:hAnsiTheme="minorHAnsi" w:cstheme="minorHAnsi"/>
              </w:rPr>
              <w:t>3.</w:t>
            </w:r>
          </w:p>
        </w:tc>
        <w:tc>
          <w:tcPr>
            <w:tcW w:w="6611" w:type="dxa"/>
          </w:tcPr>
          <w:p w14:paraId="1AF59F7B" w14:textId="03BE80DC" w:rsidR="00066C81" w:rsidRPr="0045089B" w:rsidRDefault="00BF74D1" w:rsidP="00ED69E6">
            <w:pPr>
              <w:rPr>
                <w:rFonts w:asciiTheme="minorHAnsi" w:hAnsiTheme="minorHAnsi" w:cstheme="minorHAnsi"/>
              </w:rPr>
            </w:pPr>
            <w:r>
              <w:rPr>
                <w:rFonts w:asciiTheme="minorHAnsi" w:hAnsiTheme="minorHAnsi" w:cstheme="minorHAnsi"/>
              </w:rPr>
              <w:t>Create</w:t>
            </w:r>
            <w:r w:rsidR="00F765A8" w:rsidRPr="0045089B">
              <w:rPr>
                <w:rFonts w:asciiTheme="minorHAnsi" w:hAnsiTheme="minorHAnsi" w:cstheme="minorHAnsi"/>
              </w:rPr>
              <w:t xml:space="preserve"> clinically focussed </w:t>
            </w:r>
            <w:r>
              <w:rPr>
                <w:rFonts w:asciiTheme="minorHAnsi" w:hAnsiTheme="minorHAnsi" w:cstheme="minorHAnsi"/>
              </w:rPr>
              <w:t>tools</w:t>
            </w:r>
            <w:r w:rsidR="0045089B">
              <w:rPr>
                <w:rFonts w:asciiTheme="minorHAnsi" w:hAnsiTheme="minorHAnsi" w:cstheme="minorHAnsi"/>
              </w:rPr>
              <w:t xml:space="preserve"> to support</w:t>
            </w:r>
            <w:r>
              <w:rPr>
                <w:rFonts w:asciiTheme="minorHAnsi" w:hAnsiTheme="minorHAnsi" w:cstheme="minorHAnsi"/>
              </w:rPr>
              <w:t xml:space="preserve"> innovative </w:t>
            </w:r>
            <w:proofErr w:type="gramStart"/>
            <w:r w:rsidR="0045089B">
              <w:rPr>
                <w:rFonts w:asciiTheme="minorHAnsi" w:hAnsiTheme="minorHAnsi" w:cstheme="minorHAnsi"/>
              </w:rPr>
              <w:t>decision making</w:t>
            </w:r>
            <w:proofErr w:type="gramEnd"/>
            <w:r w:rsidR="000252D8">
              <w:rPr>
                <w:rFonts w:asciiTheme="minorHAnsi" w:hAnsiTheme="minorHAnsi" w:cstheme="minorHAnsi"/>
              </w:rPr>
              <w:t xml:space="preserve"> </w:t>
            </w:r>
            <w:r>
              <w:rPr>
                <w:rFonts w:asciiTheme="minorHAnsi" w:hAnsiTheme="minorHAnsi" w:cstheme="minorHAnsi"/>
              </w:rPr>
              <w:t xml:space="preserve">approaches which are </w:t>
            </w:r>
            <w:r w:rsidR="000252D8">
              <w:rPr>
                <w:rFonts w:asciiTheme="minorHAnsi" w:hAnsiTheme="minorHAnsi" w:cstheme="minorHAnsi"/>
              </w:rPr>
              <w:t xml:space="preserve">transferrable across </w:t>
            </w:r>
            <w:r>
              <w:rPr>
                <w:rFonts w:asciiTheme="minorHAnsi" w:hAnsiTheme="minorHAnsi" w:cstheme="minorHAnsi"/>
              </w:rPr>
              <w:t xml:space="preserve">different </w:t>
            </w:r>
            <w:r w:rsidR="000252D8">
              <w:rPr>
                <w:rFonts w:asciiTheme="minorHAnsi" w:hAnsiTheme="minorHAnsi" w:cstheme="minorHAnsi"/>
              </w:rPr>
              <w:t>specialities.</w:t>
            </w:r>
            <w:r>
              <w:rPr>
                <w:rFonts w:asciiTheme="minorHAnsi" w:hAnsiTheme="minorHAnsi" w:cstheme="minorHAnsi"/>
              </w:rPr>
              <w:t xml:space="preserve"> </w:t>
            </w:r>
          </w:p>
        </w:tc>
      </w:tr>
      <w:tr w:rsidR="00066C81" w14:paraId="5E9D4AA3" w14:textId="77777777" w:rsidTr="55DB2C4E">
        <w:tc>
          <w:tcPr>
            <w:tcW w:w="9016" w:type="dxa"/>
            <w:gridSpan w:val="3"/>
            <w:shd w:val="clear" w:color="auto" w:fill="F2F2F2" w:themeFill="background1" w:themeFillShade="F2"/>
          </w:tcPr>
          <w:p w14:paraId="399685F1" w14:textId="77777777" w:rsidR="00066C81" w:rsidRPr="0045089B" w:rsidRDefault="00066C81" w:rsidP="00066C81">
            <w:pPr>
              <w:rPr>
                <w:rFonts w:asciiTheme="minorHAnsi" w:hAnsiTheme="minorHAnsi" w:cstheme="minorHAnsi"/>
              </w:rPr>
            </w:pPr>
            <w:r w:rsidRPr="0045089B">
              <w:rPr>
                <w:rFonts w:asciiTheme="minorHAnsi" w:hAnsiTheme="minorHAnsi" w:cstheme="minorHAnsi"/>
                <w:b/>
              </w:rPr>
              <w:t xml:space="preserve">Project Summary </w:t>
            </w:r>
          </w:p>
        </w:tc>
      </w:tr>
      <w:tr w:rsidR="00066C81" w14:paraId="45B09966" w14:textId="77777777" w:rsidTr="55DB2C4E">
        <w:tc>
          <w:tcPr>
            <w:tcW w:w="9016" w:type="dxa"/>
            <w:gridSpan w:val="3"/>
          </w:tcPr>
          <w:p w14:paraId="20A0A01D" w14:textId="58A60886" w:rsidR="00066C81" w:rsidRPr="0045089B" w:rsidRDefault="00950663" w:rsidP="00ED69E6">
            <w:pPr>
              <w:rPr>
                <w:rFonts w:asciiTheme="minorHAnsi" w:hAnsiTheme="minorHAnsi" w:cstheme="minorHAnsi"/>
              </w:rPr>
            </w:pPr>
            <w:r w:rsidRPr="0045089B">
              <w:rPr>
                <w:rFonts w:asciiTheme="minorHAnsi" w:hAnsiTheme="minorHAnsi" w:cstheme="minorHAnsi"/>
                <w:b/>
                <w:bCs/>
              </w:rPr>
              <w:t xml:space="preserve">Background: </w:t>
            </w:r>
            <w:r w:rsidRPr="0045089B">
              <w:rPr>
                <w:rFonts w:asciiTheme="minorHAnsi" w:hAnsiTheme="minorHAnsi" w:cstheme="minorHAnsi"/>
              </w:rPr>
              <w:t xml:space="preserve">Genomic data is one of the most powerful tools available to facilitate precision medicine (1). Advances in understanding the genetic basis of haematological malignancies, have improved disease classification, risk stratification and </w:t>
            </w:r>
            <w:r w:rsidR="00FD6B09">
              <w:rPr>
                <w:rFonts w:asciiTheme="minorHAnsi" w:hAnsiTheme="minorHAnsi" w:cstheme="minorHAnsi"/>
              </w:rPr>
              <w:t xml:space="preserve">facilitated the </w:t>
            </w:r>
            <w:r w:rsidRPr="0045089B">
              <w:rPr>
                <w:rFonts w:asciiTheme="minorHAnsi" w:hAnsiTheme="minorHAnsi" w:cstheme="minorHAnsi"/>
              </w:rPr>
              <w:t>identification of new therapeutic targets (2). However, practical use of genomic information is suboptimal due to multiple factors, including</w:t>
            </w:r>
            <w:r w:rsidR="00BF74D1">
              <w:rPr>
                <w:rFonts w:asciiTheme="minorHAnsi" w:hAnsiTheme="minorHAnsi" w:cstheme="minorHAnsi"/>
              </w:rPr>
              <w:t xml:space="preserve"> </w:t>
            </w:r>
            <w:r w:rsidR="00FD6B09">
              <w:rPr>
                <w:rFonts w:asciiTheme="minorHAnsi" w:hAnsiTheme="minorHAnsi" w:cstheme="minorHAnsi"/>
              </w:rPr>
              <w:t>accessibility</w:t>
            </w:r>
            <w:r w:rsidRPr="0045089B">
              <w:rPr>
                <w:rFonts w:asciiTheme="minorHAnsi" w:hAnsiTheme="minorHAnsi" w:cstheme="minorHAnsi"/>
              </w:rPr>
              <w:t>, knowledge gaps (</w:t>
            </w:r>
            <w:proofErr w:type="gramStart"/>
            <w:r w:rsidRPr="0045089B">
              <w:rPr>
                <w:rFonts w:asciiTheme="minorHAnsi" w:hAnsiTheme="minorHAnsi" w:cstheme="minorHAnsi"/>
              </w:rPr>
              <w:t>e.g.</w:t>
            </w:r>
            <w:proofErr w:type="gramEnd"/>
            <w:r w:rsidRPr="0045089B">
              <w:rPr>
                <w:rFonts w:asciiTheme="minorHAnsi" w:hAnsiTheme="minorHAnsi" w:cstheme="minorHAnsi"/>
              </w:rPr>
              <w:t xml:space="preserve"> rare cancers), and poor integration of genomic data with clinical information (3,4,5). Consideration also needs to be given to how best to use and present this information to clinicians and patients and in what context such clinical decision support (CDS) tools should exist (6). This project will explore how we could better use genomic and clinical data in combination to drive advances in clinical care and research.</w:t>
            </w:r>
          </w:p>
          <w:p w14:paraId="4D2B2BA3" w14:textId="0D4D7DC3" w:rsidR="00066C81" w:rsidRPr="0045089B" w:rsidRDefault="00066C81" w:rsidP="00ED69E6">
            <w:pPr>
              <w:rPr>
                <w:rFonts w:asciiTheme="minorHAnsi" w:hAnsiTheme="minorHAnsi" w:cstheme="minorHAnsi"/>
              </w:rPr>
            </w:pPr>
          </w:p>
          <w:p w14:paraId="35122D45" w14:textId="77777777" w:rsidR="0080712E" w:rsidRPr="0045089B" w:rsidRDefault="00950663" w:rsidP="00950663">
            <w:pPr>
              <w:pStyle w:val="paragraph"/>
              <w:spacing w:before="0" w:beforeAutospacing="0" w:after="0" w:afterAutospacing="0"/>
              <w:textAlignment w:val="baseline"/>
              <w:rPr>
                <w:rFonts w:asciiTheme="minorHAnsi" w:eastAsia="Calibri" w:hAnsiTheme="minorHAnsi" w:cstheme="minorHAnsi"/>
                <w:color w:val="000000"/>
                <w:sz w:val="22"/>
                <w:szCs w:val="22"/>
              </w:rPr>
            </w:pPr>
            <w:r w:rsidRPr="0045089B">
              <w:rPr>
                <w:rFonts w:asciiTheme="minorHAnsi" w:eastAsia="Calibri" w:hAnsiTheme="minorHAnsi" w:cstheme="minorHAnsi"/>
                <w:b/>
                <w:bCs/>
                <w:color w:val="000000"/>
                <w:sz w:val="22"/>
                <w:szCs w:val="22"/>
              </w:rPr>
              <w:t>Research Plan:</w:t>
            </w:r>
            <w:r w:rsidRPr="0045089B">
              <w:rPr>
                <w:rFonts w:asciiTheme="minorHAnsi" w:eastAsia="Calibri" w:hAnsiTheme="minorHAnsi" w:cstheme="minorHAnsi"/>
                <w:color w:val="000000"/>
                <w:sz w:val="22"/>
                <w:szCs w:val="22"/>
              </w:rPr>
              <w:t> </w:t>
            </w:r>
          </w:p>
          <w:p w14:paraId="37E943C6" w14:textId="77777777" w:rsidR="0080712E" w:rsidRPr="0045089B" w:rsidRDefault="0080712E" w:rsidP="0080712E">
            <w:pPr>
              <w:pStyle w:val="paragraph"/>
              <w:spacing w:before="0" w:beforeAutospacing="0" w:after="0" w:afterAutospacing="0"/>
              <w:textAlignment w:val="baseline"/>
              <w:rPr>
                <w:rFonts w:asciiTheme="minorHAnsi" w:eastAsia="Calibri" w:hAnsiTheme="minorHAnsi" w:cstheme="minorHAnsi"/>
                <w:color w:val="000000"/>
                <w:sz w:val="22"/>
                <w:szCs w:val="22"/>
              </w:rPr>
            </w:pPr>
            <w:r w:rsidRPr="0045089B">
              <w:rPr>
                <w:rFonts w:asciiTheme="minorHAnsi" w:eastAsia="Calibri" w:hAnsiTheme="minorHAnsi" w:cstheme="minorHAnsi"/>
                <w:color w:val="000000"/>
                <w:sz w:val="22"/>
                <w:szCs w:val="22"/>
              </w:rPr>
              <w:t>The project has three stages:</w:t>
            </w:r>
          </w:p>
          <w:p w14:paraId="13AC812A" w14:textId="0EC97A0E" w:rsidR="0080712E" w:rsidRPr="0045089B" w:rsidRDefault="00950663" w:rsidP="0080712E">
            <w:pPr>
              <w:pStyle w:val="paragraph"/>
              <w:numPr>
                <w:ilvl w:val="0"/>
                <w:numId w:val="9"/>
              </w:numPr>
              <w:spacing w:before="0" w:beforeAutospacing="0" w:after="0" w:afterAutospacing="0"/>
              <w:textAlignment w:val="baseline"/>
              <w:rPr>
                <w:rFonts w:asciiTheme="minorHAnsi" w:eastAsia="Calibri" w:hAnsiTheme="minorHAnsi" w:cstheme="minorHAnsi"/>
                <w:color w:val="000000"/>
                <w:sz w:val="22"/>
                <w:szCs w:val="22"/>
              </w:rPr>
            </w:pPr>
            <w:r w:rsidRPr="0045089B">
              <w:rPr>
                <w:rFonts w:asciiTheme="minorHAnsi" w:eastAsia="Calibri" w:hAnsiTheme="minorHAnsi" w:cstheme="minorHAnsi"/>
                <w:color w:val="000000"/>
                <w:sz w:val="22"/>
                <w:szCs w:val="22"/>
              </w:rPr>
              <w:t>Explore how data and 'omics is currently used in clinical care of haematological cancers and healthcare systems that surround it. This will involve a comprehensive literature review for 'omics driven clinical decision support; focus groups with stakeholders (local clinicians, allied healthcare providers and patients); and assessing handling and access to data. Focus groups will concentrate on how ‘omics is used in clinical practice and how it could be improved or changed.</w:t>
            </w:r>
          </w:p>
          <w:p w14:paraId="00599F53" w14:textId="1AFFB122" w:rsidR="0080712E" w:rsidRPr="0045089B" w:rsidRDefault="00950663" w:rsidP="55DB2C4E">
            <w:pPr>
              <w:pStyle w:val="paragraph"/>
              <w:numPr>
                <w:ilvl w:val="0"/>
                <w:numId w:val="9"/>
              </w:numPr>
              <w:spacing w:before="0" w:beforeAutospacing="0" w:after="0" w:afterAutospacing="0"/>
              <w:textAlignment w:val="baseline"/>
              <w:rPr>
                <w:rFonts w:asciiTheme="minorHAnsi" w:eastAsia="Calibri" w:hAnsiTheme="minorHAnsi" w:cstheme="minorBidi"/>
                <w:color w:val="000000"/>
                <w:sz w:val="22"/>
                <w:szCs w:val="22"/>
              </w:rPr>
            </w:pPr>
            <w:r w:rsidRPr="55DB2C4E">
              <w:rPr>
                <w:rFonts w:asciiTheme="minorHAnsi" w:eastAsia="Calibri" w:hAnsiTheme="minorHAnsi" w:cstheme="minorBidi"/>
                <w:color w:val="000000" w:themeColor="text1"/>
                <w:sz w:val="22"/>
                <w:szCs w:val="22"/>
              </w:rPr>
              <w:t xml:space="preserve">Use learnings from </w:t>
            </w:r>
            <w:r w:rsidR="0529D88E" w:rsidRPr="55DB2C4E">
              <w:rPr>
                <w:rFonts w:asciiTheme="minorHAnsi" w:eastAsia="Calibri" w:hAnsiTheme="minorHAnsi" w:cstheme="minorBidi"/>
                <w:color w:val="000000" w:themeColor="text1"/>
                <w:sz w:val="22"/>
                <w:szCs w:val="22"/>
              </w:rPr>
              <w:t>stage 1</w:t>
            </w:r>
            <w:r w:rsidRPr="55DB2C4E">
              <w:rPr>
                <w:rFonts w:asciiTheme="minorHAnsi" w:eastAsia="Calibri" w:hAnsiTheme="minorHAnsi" w:cstheme="minorBidi"/>
                <w:color w:val="000000" w:themeColor="text1"/>
                <w:sz w:val="22"/>
                <w:szCs w:val="22"/>
              </w:rPr>
              <w:t xml:space="preserve"> and our existing </w:t>
            </w:r>
            <w:r w:rsidR="749526D3" w:rsidRPr="55DB2C4E">
              <w:rPr>
                <w:rFonts w:asciiTheme="minorHAnsi" w:eastAsia="Calibri" w:hAnsiTheme="minorHAnsi" w:cstheme="minorBidi"/>
                <w:color w:val="000000" w:themeColor="text1"/>
                <w:sz w:val="22"/>
                <w:szCs w:val="22"/>
              </w:rPr>
              <w:t>CDS</w:t>
            </w:r>
            <w:r w:rsidRPr="55DB2C4E">
              <w:rPr>
                <w:rFonts w:asciiTheme="minorHAnsi" w:eastAsia="Calibri" w:hAnsiTheme="minorHAnsi" w:cstheme="minorBidi"/>
                <w:color w:val="000000" w:themeColor="text1"/>
                <w:sz w:val="22"/>
                <w:szCs w:val="22"/>
              </w:rPr>
              <w:t xml:space="preserve"> framework to develop decision support algorithms/processes which integrate existing models, data processing and patient clinical and genomics data.</w:t>
            </w:r>
            <w:r w:rsidR="0529D88E" w:rsidRPr="55DB2C4E">
              <w:rPr>
                <w:rFonts w:asciiTheme="minorHAnsi" w:eastAsia="Calibri" w:hAnsiTheme="minorHAnsi" w:cstheme="minorBidi"/>
                <w:color w:val="000000" w:themeColor="text1"/>
                <w:sz w:val="22"/>
                <w:szCs w:val="22"/>
              </w:rPr>
              <w:t xml:space="preserve"> </w:t>
            </w:r>
            <w:r w:rsidRPr="55DB2C4E">
              <w:rPr>
                <w:rFonts w:asciiTheme="minorHAnsi" w:eastAsia="Calibri" w:hAnsiTheme="minorHAnsi" w:cstheme="minorBidi"/>
                <w:color w:val="000000" w:themeColor="text1"/>
                <w:sz w:val="22"/>
                <w:szCs w:val="22"/>
              </w:rPr>
              <w:t>This tool would have the potential for use in clinical and research settings. Existing anonymised data will be used to carry out evaluation/testing of processes</w:t>
            </w:r>
            <w:r w:rsidR="4254E9C2" w:rsidRPr="55DB2C4E">
              <w:rPr>
                <w:rFonts w:asciiTheme="minorHAnsi" w:eastAsia="Calibri" w:hAnsiTheme="minorHAnsi" w:cstheme="minorBidi"/>
                <w:color w:val="000000" w:themeColor="text1"/>
                <w:sz w:val="22"/>
                <w:szCs w:val="22"/>
              </w:rPr>
              <w:t>.</w:t>
            </w:r>
          </w:p>
          <w:p w14:paraId="6557DF52" w14:textId="356CB469" w:rsidR="00950663" w:rsidRPr="0045089B" w:rsidRDefault="00950663" w:rsidP="0080712E">
            <w:pPr>
              <w:pStyle w:val="paragraph"/>
              <w:numPr>
                <w:ilvl w:val="0"/>
                <w:numId w:val="9"/>
              </w:numPr>
              <w:spacing w:before="0" w:beforeAutospacing="0" w:after="0" w:afterAutospacing="0"/>
              <w:textAlignment w:val="baseline"/>
              <w:rPr>
                <w:rFonts w:asciiTheme="minorHAnsi" w:eastAsia="Calibri" w:hAnsiTheme="minorHAnsi" w:cstheme="minorHAnsi"/>
                <w:color w:val="000000"/>
                <w:sz w:val="22"/>
                <w:szCs w:val="22"/>
              </w:rPr>
            </w:pPr>
            <w:r w:rsidRPr="0045089B">
              <w:rPr>
                <w:rFonts w:asciiTheme="minorHAnsi" w:eastAsia="Calibri" w:hAnsiTheme="minorHAnsi" w:cstheme="minorHAnsi"/>
                <w:color w:val="000000"/>
                <w:sz w:val="22"/>
                <w:szCs w:val="22"/>
              </w:rPr>
              <w:t xml:space="preserve">Co-design a pilot front-end for CDS based on </w:t>
            </w:r>
            <w:r w:rsidR="0080712E" w:rsidRPr="0045089B">
              <w:rPr>
                <w:rFonts w:asciiTheme="minorHAnsi" w:eastAsia="Calibri" w:hAnsiTheme="minorHAnsi" w:cstheme="minorHAnsi"/>
                <w:color w:val="000000"/>
                <w:sz w:val="22"/>
                <w:szCs w:val="22"/>
              </w:rPr>
              <w:t>Stage 2,</w:t>
            </w:r>
            <w:r w:rsidRPr="0045089B">
              <w:rPr>
                <w:rFonts w:asciiTheme="minorHAnsi" w:eastAsia="Calibri" w:hAnsiTheme="minorHAnsi" w:cstheme="minorHAnsi"/>
                <w:color w:val="000000"/>
                <w:sz w:val="22"/>
                <w:szCs w:val="22"/>
              </w:rPr>
              <w:t xml:space="preserve"> which will effectively support</w:t>
            </w:r>
            <w:r w:rsidR="00F765A8" w:rsidRPr="0045089B">
              <w:rPr>
                <w:rFonts w:asciiTheme="minorHAnsi" w:eastAsia="Calibri" w:hAnsiTheme="minorHAnsi" w:cstheme="minorHAnsi"/>
                <w:color w:val="000000"/>
                <w:sz w:val="22"/>
                <w:szCs w:val="22"/>
              </w:rPr>
              <w:t xml:space="preserve"> </w:t>
            </w:r>
            <w:r w:rsidRPr="0045089B">
              <w:rPr>
                <w:rFonts w:asciiTheme="minorHAnsi" w:eastAsia="Calibri" w:hAnsiTheme="minorHAnsi" w:cstheme="minorHAnsi"/>
                <w:color w:val="000000"/>
                <w:sz w:val="22"/>
                <w:szCs w:val="22"/>
              </w:rPr>
              <w:t>decision making and generate research hypotheses. Run clinician-based focus group and undertake qualitative analysis using simulations based on example anonymised data. </w:t>
            </w:r>
          </w:p>
          <w:p w14:paraId="039E85B0" w14:textId="77777777" w:rsidR="00950663" w:rsidRPr="0045089B" w:rsidRDefault="00950663" w:rsidP="00950663">
            <w:pPr>
              <w:pStyle w:val="paragraph"/>
              <w:spacing w:before="0" w:beforeAutospacing="0" w:after="0" w:afterAutospacing="0"/>
              <w:textAlignment w:val="baseline"/>
              <w:rPr>
                <w:rFonts w:asciiTheme="minorHAnsi" w:eastAsia="Calibri" w:hAnsiTheme="minorHAnsi" w:cstheme="minorHAnsi"/>
                <w:color w:val="000000"/>
                <w:sz w:val="22"/>
                <w:szCs w:val="22"/>
              </w:rPr>
            </w:pPr>
          </w:p>
          <w:p w14:paraId="771F4306" w14:textId="551C142C" w:rsidR="00950663" w:rsidRPr="0045089B" w:rsidRDefault="00950663" w:rsidP="00950663">
            <w:pPr>
              <w:pStyle w:val="paragraph"/>
              <w:spacing w:before="0" w:beforeAutospacing="0" w:after="0" w:afterAutospacing="0"/>
              <w:textAlignment w:val="baseline"/>
              <w:rPr>
                <w:rFonts w:asciiTheme="minorHAnsi" w:eastAsia="Calibri" w:hAnsiTheme="minorHAnsi" w:cstheme="minorHAnsi"/>
                <w:color w:val="000000"/>
                <w:sz w:val="22"/>
                <w:szCs w:val="22"/>
              </w:rPr>
            </w:pPr>
            <w:r w:rsidRPr="0045089B">
              <w:rPr>
                <w:rFonts w:asciiTheme="minorHAnsi" w:eastAsia="Calibri" w:hAnsiTheme="minorHAnsi" w:cstheme="minorHAnsi"/>
                <w:b/>
                <w:bCs/>
                <w:color w:val="000000"/>
                <w:sz w:val="22"/>
                <w:szCs w:val="22"/>
              </w:rPr>
              <w:t>Expected outcomes and impact:</w:t>
            </w:r>
            <w:r w:rsidRPr="0045089B">
              <w:rPr>
                <w:rFonts w:asciiTheme="minorHAnsi" w:eastAsia="Calibri" w:hAnsiTheme="minorHAnsi" w:cstheme="minorHAnsi"/>
                <w:color w:val="000000"/>
                <w:sz w:val="22"/>
                <w:szCs w:val="22"/>
              </w:rPr>
              <w:t xml:space="preserve"> This project will produce a data-driven CDS tool which could personalise cancer care and research across the UK and Europe.</w:t>
            </w:r>
            <w:r w:rsidR="0080712E" w:rsidRPr="0045089B">
              <w:rPr>
                <w:rFonts w:asciiTheme="minorHAnsi" w:eastAsia="Calibri" w:hAnsiTheme="minorHAnsi" w:cstheme="minorHAnsi"/>
                <w:color w:val="000000"/>
                <w:sz w:val="22"/>
                <w:szCs w:val="22"/>
              </w:rPr>
              <w:t xml:space="preserve"> </w:t>
            </w:r>
            <w:r w:rsidRPr="0045089B">
              <w:rPr>
                <w:rFonts w:asciiTheme="minorHAnsi" w:eastAsia="Calibri" w:hAnsiTheme="minorHAnsi" w:cstheme="minorHAnsi"/>
                <w:color w:val="000000"/>
                <w:sz w:val="22"/>
                <w:szCs w:val="22"/>
              </w:rPr>
              <w:t xml:space="preserve">Through this and continuing development of the underlying CDS framework, </w:t>
            </w:r>
            <w:r w:rsidR="00F765A8" w:rsidRPr="0045089B">
              <w:rPr>
                <w:rFonts w:asciiTheme="minorHAnsi" w:eastAsia="Calibri" w:hAnsiTheme="minorHAnsi" w:cstheme="minorHAnsi"/>
                <w:color w:val="000000"/>
                <w:sz w:val="22"/>
                <w:szCs w:val="22"/>
              </w:rPr>
              <w:t>it</w:t>
            </w:r>
            <w:r w:rsidRPr="0045089B">
              <w:rPr>
                <w:rFonts w:asciiTheme="minorHAnsi" w:eastAsia="Calibri" w:hAnsiTheme="minorHAnsi" w:cstheme="minorHAnsi"/>
                <w:color w:val="000000"/>
                <w:sz w:val="22"/>
                <w:szCs w:val="22"/>
              </w:rPr>
              <w:t xml:space="preserve"> should be generalisable for other specialities and embeddable within/interoperable with electronic patient records. Publications will include a </w:t>
            </w:r>
            <w:r w:rsidRPr="0045089B">
              <w:rPr>
                <w:rFonts w:asciiTheme="minorHAnsi" w:eastAsia="Calibri" w:hAnsiTheme="minorHAnsi" w:cstheme="minorHAnsi"/>
                <w:color w:val="000000"/>
                <w:sz w:val="22"/>
                <w:szCs w:val="22"/>
              </w:rPr>
              <w:lastRenderedPageBreak/>
              <w:t xml:space="preserve">systematic review of genomics in the context of cancer care; and technical/evaluation papers related to the introduction of CDS. More broadly, </w:t>
            </w:r>
            <w:r w:rsidR="00F765A8" w:rsidRPr="0045089B">
              <w:rPr>
                <w:rFonts w:asciiTheme="minorHAnsi" w:eastAsia="Calibri" w:hAnsiTheme="minorHAnsi" w:cstheme="minorHAnsi"/>
                <w:color w:val="000000"/>
                <w:sz w:val="22"/>
                <w:szCs w:val="22"/>
              </w:rPr>
              <w:t xml:space="preserve">CDS </w:t>
            </w:r>
            <w:r w:rsidRPr="0045089B">
              <w:rPr>
                <w:rFonts w:asciiTheme="minorHAnsi" w:eastAsia="Calibri" w:hAnsiTheme="minorHAnsi" w:cstheme="minorHAnsi"/>
                <w:color w:val="000000"/>
                <w:sz w:val="22"/>
                <w:szCs w:val="22"/>
              </w:rPr>
              <w:t xml:space="preserve">application within the clinic, has the potential to reduce costs and burden within healthcare services through prevention, earlier diagnosis and access to precision treatments. It will also </w:t>
            </w:r>
            <w:r w:rsidR="00F765A8" w:rsidRPr="0045089B">
              <w:rPr>
                <w:rFonts w:asciiTheme="minorHAnsi" w:eastAsia="Calibri" w:hAnsiTheme="minorHAnsi" w:cstheme="minorHAnsi"/>
                <w:color w:val="000000"/>
                <w:sz w:val="22"/>
                <w:szCs w:val="22"/>
              </w:rPr>
              <w:t>better inform</w:t>
            </w:r>
            <w:r w:rsidRPr="0045089B">
              <w:rPr>
                <w:rFonts w:asciiTheme="minorHAnsi" w:eastAsia="Calibri" w:hAnsiTheme="minorHAnsi" w:cstheme="minorHAnsi"/>
                <w:color w:val="000000"/>
                <w:sz w:val="22"/>
                <w:szCs w:val="22"/>
              </w:rPr>
              <w:t xml:space="preserve"> clinicians and patients about disease trajectory. </w:t>
            </w:r>
          </w:p>
          <w:p w14:paraId="262F8444" w14:textId="77777777" w:rsidR="0080712E" w:rsidRPr="0045089B" w:rsidRDefault="0080712E" w:rsidP="00950663">
            <w:pPr>
              <w:pStyle w:val="paragraph"/>
              <w:spacing w:before="0" w:beforeAutospacing="0" w:after="0" w:afterAutospacing="0"/>
              <w:textAlignment w:val="baseline"/>
              <w:rPr>
                <w:rFonts w:asciiTheme="minorHAnsi" w:eastAsia="Calibri" w:hAnsiTheme="minorHAnsi" w:cstheme="minorHAnsi"/>
                <w:color w:val="000000"/>
                <w:sz w:val="22"/>
                <w:szCs w:val="22"/>
              </w:rPr>
            </w:pPr>
          </w:p>
          <w:p w14:paraId="28043D4E" w14:textId="77777777" w:rsidR="00066C81" w:rsidRPr="0045089B" w:rsidRDefault="00066C81" w:rsidP="0080712E">
            <w:pPr>
              <w:rPr>
                <w:rFonts w:asciiTheme="minorHAnsi" w:hAnsiTheme="minorHAnsi" w:cstheme="minorHAnsi"/>
                <w:b/>
              </w:rPr>
            </w:pPr>
          </w:p>
        </w:tc>
      </w:tr>
      <w:tr w:rsidR="00C764B2" w14:paraId="7D71261E" w14:textId="77777777" w:rsidTr="55DB2C4E">
        <w:tc>
          <w:tcPr>
            <w:tcW w:w="9016" w:type="dxa"/>
            <w:gridSpan w:val="3"/>
          </w:tcPr>
          <w:p w14:paraId="56DC16AB" w14:textId="77777777" w:rsidR="00C764B2" w:rsidRDefault="00C764B2" w:rsidP="00ED69E6">
            <w:pPr>
              <w:rPr>
                <w:b/>
              </w:rPr>
            </w:pPr>
            <w:r>
              <w:rPr>
                <w:b/>
              </w:rPr>
              <w:lastRenderedPageBreak/>
              <w:t>References</w:t>
            </w:r>
          </w:p>
          <w:p w14:paraId="6AF9A160" w14:textId="77777777" w:rsidR="00950663" w:rsidRDefault="00950663" w:rsidP="00950663">
            <w:pPr>
              <w:pStyle w:val="paragraph"/>
              <w:numPr>
                <w:ilvl w:val="0"/>
                <w:numId w:val="1"/>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color w:val="212121"/>
                <w:sz w:val="20"/>
                <w:szCs w:val="20"/>
              </w:rPr>
              <w:t xml:space="preserve">Collins FS, Varmus H. A new initiative on precision medicine. N </w:t>
            </w:r>
            <w:proofErr w:type="spellStart"/>
            <w:r>
              <w:rPr>
                <w:rStyle w:val="normaltextrun"/>
                <w:rFonts w:ascii="Calibri" w:hAnsi="Calibri" w:cs="Calibri"/>
                <w:color w:val="212121"/>
                <w:sz w:val="20"/>
                <w:szCs w:val="20"/>
              </w:rPr>
              <w:t>Engl</w:t>
            </w:r>
            <w:proofErr w:type="spellEnd"/>
            <w:r>
              <w:rPr>
                <w:rStyle w:val="normaltextrun"/>
                <w:rFonts w:ascii="Calibri" w:hAnsi="Calibri" w:cs="Calibri"/>
                <w:color w:val="212121"/>
                <w:sz w:val="20"/>
                <w:szCs w:val="20"/>
              </w:rPr>
              <w:t xml:space="preserve"> J Med. 2015 Feb 26;372(9):793-5. </w:t>
            </w:r>
            <w:proofErr w:type="spellStart"/>
            <w:r>
              <w:rPr>
                <w:rStyle w:val="normaltextrun"/>
                <w:rFonts w:ascii="Calibri" w:hAnsi="Calibri" w:cs="Calibri"/>
                <w:color w:val="212121"/>
                <w:sz w:val="20"/>
                <w:szCs w:val="20"/>
              </w:rPr>
              <w:t>doi</w:t>
            </w:r>
            <w:proofErr w:type="spellEnd"/>
            <w:r>
              <w:rPr>
                <w:rStyle w:val="normaltextrun"/>
                <w:rFonts w:ascii="Calibri" w:hAnsi="Calibri" w:cs="Calibri"/>
                <w:color w:val="212121"/>
                <w:sz w:val="20"/>
                <w:szCs w:val="20"/>
              </w:rPr>
              <w:t xml:space="preserve">: 10.1056/NEJMp1500523. </w:t>
            </w:r>
            <w:proofErr w:type="spellStart"/>
            <w:r>
              <w:rPr>
                <w:rStyle w:val="normaltextrun"/>
                <w:rFonts w:ascii="Calibri" w:hAnsi="Calibri" w:cs="Calibri"/>
                <w:color w:val="212121"/>
                <w:sz w:val="20"/>
                <w:szCs w:val="20"/>
              </w:rPr>
              <w:t>Epub</w:t>
            </w:r>
            <w:proofErr w:type="spellEnd"/>
            <w:r>
              <w:rPr>
                <w:rStyle w:val="normaltextrun"/>
                <w:rFonts w:ascii="Calibri" w:hAnsi="Calibri" w:cs="Calibri"/>
                <w:color w:val="212121"/>
                <w:sz w:val="20"/>
                <w:szCs w:val="20"/>
              </w:rPr>
              <w:t xml:space="preserve"> 2015 Jan 30. PMID: 25635347; PMCID: PMC5101938.</w:t>
            </w:r>
            <w:r>
              <w:rPr>
                <w:rStyle w:val="eop"/>
                <w:rFonts w:ascii="Calibri" w:hAnsi="Calibri" w:cs="Calibri"/>
                <w:color w:val="212121"/>
                <w:sz w:val="20"/>
                <w:szCs w:val="20"/>
              </w:rPr>
              <w:t> </w:t>
            </w:r>
          </w:p>
          <w:p w14:paraId="05B0D73D" w14:textId="77777777" w:rsidR="00950663" w:rsidRDefault="00950663" w:rsidP="00950663">
            <w:pPr>
              <w:pStyle w:val="paragraph"/>
              <w:numPr>
                <w:ilvl w:val="0"/>
                <w:numId w:val="2"/>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color w:val="212121"/>
                <w:sz w:val="20"/>
                <w:szCs w:val="20"/>
              </w:rPr>
              <w:t>Jakobsen NA, Vyas P. From genomics to targeted treatment in haematological malignancies: a focus on acute myeloid leukaemia. Clin Med (</w:t>
            </w:r>
            <w:proofErr w:type="spellStart"/>
            <w:r>
              <w:rPr>
                <w:rStyle w:val="normaltextrun"/>
                <w:rFonts w:ascii="Calibri" w:hAnsi="Calibri" w:cs="Calibri"/>
                <w:color w:val="212121"/>
                <w:sz w:val="20"/>
                <w:szCs w:val="20"/>
              </w:rPr>
              <w:t>Lond</w:t>
            </w:r>
            <w:proofErr w:type="spellEnd"/>
            <w:r>
              <w:rPr>
                <w:rStyle w:val="normaltextrun"/>
                <w:rFonts w:ascii="Calibri" w:hAnsi="Calibri" w:cs="Calibri"/>
                <w:color w:val="212121"/>
                <w:sz w:val="20"/>
                <w:szCs w:val="20"/>
              </w:rPr>
              <w:t>). 2018 Apr 1;18(</w:t>
            </w:r>
            <w:proofErr w:type="spellStart"/>
            <w:r>
              <w:rPr>
                <w:rStyle w:val="normaltextrun"/>
                <w:rFonts w:ascii="Calibri" w:hAnsi="Calibri" w:cs="Calibri"/>
                <w:color w:val="212121"/>
                <w:sz w:val="20"/>
                <w:szCs w:val="20"/>
              </w:rPr>
              <w:t>Suppl</w:t>
            </w:r>
            <w:proofErr w:type="spellEnd"/>
            <w:r>
              <w:rPr>
                <w:rStyle w:val="normaltextrun"/>
                <w:rFonts w:ascii="Calibri" w:hAnsi="Calibri" w:cs="Calibri"/>
                <w:color w:val="212121"/>
                <w:sz w:val="20"/>
                <w:szCs w:val="20"/>
              </w:rPr>
              <w:t xml:space="preserve"> 2</w:t>
            </w:r>
            <w:proofErr w:type="gramStart"/>
            <w:r>
              <w:rPr>
                <w:rStyle w:val="normaltextrun"/>
                <w:rFonts w:ascii="Calibri" w:hAnsi="Calibri" w:cs="Calibri"/>
                <w:color w:val="212121"/>
                <w:sz w:val="20"/>
                <w:szCs w:val="20"/>
              </w:rPr>
              <w:t>):s</w:t>
            </w:r>
            <w:proofErr w:type="gramEnd"/>
            <w:r>
              <w:rPr>
                <w:rStyle w:val="normaltextrun"/>
                <w:rFonts w:ascii="Calibri" w:hAnsi="Calibri" w:cs="Calibri"/>
                <w:color w:val="212121"/>
                <w:sz w:val="20"/>
                <w:szCs w:val="20"/>
              </w:rPr>
              <w:t xml:space="preserve">47-s53. </w:t>
            </w:r>
            <w:proofErr w:type="spellStart"/>
            <w:r>
              <w:rPr>
                <w:rStyle w:val="normaltextrun"/>
                <w:rFonts w:ascii="Calibri" w:hAnsi="Calibri" w:cs="Calibri"/>
                <w:color w:val="212121"/>
                <w:sz w:val="20"/>
                <w:szCs w:val="20"/>
              </w:rPr>
              <w:t>doi</w:t>
            </w:r>
            <w:proofErr w:type="spellEnd"/>
            <w:r>
              <w:rPr>
                <w:rStyle w:val="normaltextrun"/>
                <w:rFonts w:ascii="Calibri" w:hAnsi="Calibri" w:cs="Calibri"/>
                <w:color w:val="212121"/>
                <w:sz w:val="20"/>
                <w:szCs w:val="20"/>
              </w:rPr>
              <w:t>: 10.7861/clinmedicine.18-2-s47. PMID: 29700093; PMCID: PMC6334029.</w:t>
            </w:r>
            <w:r>
              <w:rPr>
                <w:rStyle w:val="eop"/>
                <w:rFonts w:ascii="Calibri" w:hAnsi="Calibri" w:cs="Calibri"/>
                <w:color w:val="212121"/>
                <w:sz w:val="20"/>
                <w:szCs w:val="20"/>
              </w:rPr>
              <w:t> </w:t>
            </w:r>
          </w:p>
          <w:p w14:paraId="6C3E0045" w14:textId="77777777" w:rsidR="00950663" w:rsidRDefault="00950663" w:rsidP="00950663">
            <w:pPr>
              <w:pStyle w:val="paragraph"/>
              <w:numPr>
                <w:ilvl w:val="0"/>
                <w:numId w:val="3"/>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color w:val="303030"/>
                <w:sz w:val="20"/>
                <w:szCs w:val="20"/>
              </w:rPr>
              <w:t xml:space="preserve">Williams MS, Taylor CO, Walton NA, </w:t>
            </w:r>
            <w:proofErr w:type="spellStart"/>
            <w:r>
              <w:rPr>
                <w:rStyle w:val="normaltextrun"/>
                <w:rFonts w:ascii="Calibri" w:hAnsi="Calibri" w:cs="Calibri"/>
                <w:color w:val="303030"/>
                <w:sz w:val="20"/>
                <w:szCs w:val="20"/>
              </w:rPr>
              <w:t>Goehringer</w:t>
            </w:r>
            <w:proofErr w:type="spellEnd"/>
            <w:r>
              <w:rPr>
                <w:rStyle w:val="normaltextrun"/>
                <w:rFonts w:ascii="Calibri" w:hAnsi="Calibri" w:cs="Calibri"/>
                <w:color w:val="303030"/>
                <w:sz w:val="20"/>
                <w:szCs w:val="20"/>
              </w:rPr>
              <w:t xml:space="preserve"> SR, Aronson S, </w:t>
            </w:r>
            <w:proofErr w:type="spellStart"/>
            <w:r>
              <w:rPr>
                <w:rStyle w:val="normaltextrun"/>
                <w:rFonts w:ascii="Calibri" w:hAnsi="Calibri" w:cs="Calibri"/>
                <w:color w:val="303030"/>
                <w:sz w:val="20"/>
                <w:szCs w:val="20"/>
              </w:rPr>
              <w:t>Freimuth</w:t>
            </w:r>
            <w:proofErr w:type="spellEnd"/>
            <w:r>
              <w:rPr>
                <w:rStyle w:val="normaltextrun"/>
                <w:rFonts w:ascii="Calibri" w:hAnsi="Calibri" w:cs="Calibri"/>
                <w:color w:val="303030"/>
                <w:sz w:val="20"/>
                <w:szCs w:val="20"/>
              </w:rPr>
              <w:t xml:space="preserve"> RR, Rasmussen LV, Hall ES, Prows CA, Chung WK, </w:t>
            </w:r>
            <w:proofErr w:type="spellStart"/>
            <w:r>
              <w:rPr>
                <w:rStyle w:val="normaltextrun"/>
                <w:rFonts w:ascii="Calibri" w:hAnsi="Calibri" w:cs="Calibri"/>
                <w:color w:val="303030"/>
                <w:sz w:val="20"/>
                <w:szCs w:val="20"/>
              </w:rPr>
              <w:t>Fedotov</w:t>
            </w:r>
            <w:proofErr w:type="spellEnd"/>
            <w:r>
              <w:rPr>
                <w:rStyle w:val="normaltextrun"/>
                <w:rFonts w:ascii="Calibri" w:hAnsi="Calibri" w:cs="Calibri"/>
                <w:color w:val="303030"/>
                <w:sz w:val="20"/>
                <w:szCs w:val="20"/>
              </w:rPr>
              <w:t xml:space="preserve"> A, Nestor J, Weng C, Rowley RK, Wiesner GL, </w:t>
            </w:r>
            <w:proofErr w:type="spellStart"/>
            <w:r>
              <w:rPr>
                <w:rStyle w:val="normaltextrun"/>
                <w:rFonts w:ascii="Calibri" w:hAnsi="Calibri" w:cs="Calibri"/>
                <w:color w:val="303030"/>
                <w:sz w:val="20"/>
                <w:szCs w:val="20"/>
              </w:rPr>
              <w:t>Jarvik</w:t>
            </w:r>
            <w:proofErr w:type="spellEnd"/>
            <w:r>
              <w:rPr>
                <w:rStyle w:val="normaltextrun"/>
                <w:rFonts w:ascii="Calibri" w:hAnsi="Calibri" w:cs="Calibri"/>
                <w:color w:val="303030"/>
                <w:sz w:val="20"/>
                <w:szCs w:val="20"/>
              </w:rPr>
              <w:t xml:space="preserve"> GP, Del </w:t>
            </w:r>
            <w:proofErr w:type="spellStart"/>
            <w:r>
              <w:rPr>
                <w:rStyle w:val="normaltextrun"/>
                <w:rFonts w:ascii="Calibri" w:hAnsi="Calibri" w:cs="Calibri"/>
                <w:color w:val="303030"/>
                <w:sz w:val="20"/>
                <w:szCs w:val="20"/>
              </w:rPr>
              <w:t>Fiol</w:t>
            </w:r>
            <w:proofErr w:type="spellEnd"/>
            <w:r>
              <w:rPr>
                <w:rStyle w:val="normaltextrun"/>
                <w:rFonts w:ascii="Calibri" w:hAnsi="Calibri" w:cs="Calibri"/>
                <w:color w:val="303030"/>
                <w:sz w:val="20"/>
                <w:szCs w:val="20"/>
              </w:rPr>
              <w:t xml:space="preserve"> G. Genomic Information for Clinicians in the Electronic Health Record: Lessons Learned </w:t>
            </w:r>
            <w:proofErr w:type="gramStart"/>
            <w:r>
              <w:rPr>
                <w:rStyle w:val="normaltextrun"/>
                <w:rFonts w:ascii="Calibri" w:hAnsi="Calibri" w:cs="Calibri"/>
                <w:color w:val="303030"/>
                <w:sz w:val="20"/>
                <w:szCs w:val="20"/>
              </w:rPr>
              <w:t>From</w:t>
            </w:r>
            <w:proofErr w:type="gramEnd"/>
            <w:r>
              <w:rPr>
                <w:rStyle w:val="normaltextrun"/>
                <w:rFonts w:ascii="Calibri" w:hAnsi="Calibri" w:cs="Calibri"/>
                <w:color w:val="303030"/>
                <w:sz w:val="20"/>
                <w:szCs w:val="20"/>
              </w:rPr>
              <w:t xml:space="preserve"> the Clinical Genome Resource Project and the Electronic Medical Records and Genomics Network. Front Genet. 2019 Oct </w:t>
            </w:r>
            <w:proofErr w:type="gramStart"/>
            <w:r>
              <w:rPr>
                <w:rStyle w:val="normaltextrun"/>
                <w:rFonts w:ascii="Calibri" w:hAnsi="Calibri" w:cs="Calibri"/>
                <w:color w:val="303030"/>
                <w:sz w:val="20"/>
                <w:szCs w:val="20"/>
              </w:rPr>
              <w:t>29;10:1059</w:t>
            </w:r>
            <w:proofErr w:type="gramEnd"/>
            <w:r>
              <w:rPr>
                <w:rStyle w:val="normaltextrun"/>
                <w:rFonts w:ascii="Calibri" w:hAnsi="Calibri" w:cs="Calibri"/>
                <w:color w:val="303030"/>
                <w:sz w:val="20"/>
                <w:szCs w:val="20"/>
              </w:rPr>
              <w:t xml:space="preserve">. </w:t>
            </w:r>
            <w:proofErr w:type="spellStart"/>
            <w:r>
              <w:rPr>
                <w:rStyle w:val="normaltextrun"/>
                <w:rFonts w:ascii="Calibri" w:hAnsi="Calibri" w:cs="Calibri"/>
                <w:color w:val="303030"/>
                <w:sz w:val="20"/>
                <w:szCs w:val="20"/>
              </w:rPr>
              <w:t>doi</w:t>
            </w:r>
            <w:proofErr w:type="spellEnd"/>
            <w:r>
              <w:rPr>
                <w:rStyle w:val="normaltextrun"/>
                <w:rFonts w:ascii="Calibri" w:hAnsi="Calibri" w:cs="Calibri"/>
                <w:color w:val="303030"/>
                <w:sz w:val="20"/>
                <w:szCs w:val="20"/>
              </w:rPr>
              <w:t>: 10.3389/fgene.2019.01059. PMID: 31737042; PMCID: PMC6830110.</w:t>
            </w:r>
            <w:r>
              <w:rPr>
                <w:rStyle w:val="eop"/>
                <w:rFonts w:ascii="Calibri" w:hAnsi="Calibri" w:cs="Calibri"/>
                <w:color w:val="303030"/>
                <w:sz w:val="20"/>
                <w:szCs w:val="20"/>
              </w:rPr>
              <w:t> </w:t>
            </w:r>
          </w:p>
          <w:p w14:paraId="219D515A" w14:textId="77777777" w:rsidR="00950663" w:rsidRDefault="00950663" w:rsidP="00950663">
            <w:pPr>
              <w:pStyle w:val="paragraph"/>
              <w:numPr>
                <w:ilvl w:val="0"/>
                <w:numId w:val="4"/>
              </w:numPr>
              <w:spacing w:before="0" w:beforeAutospacing="0" w:after="0" w:afterAutospacing="0"/>
              <w:ind w:firstLine="0"/>
              <w:jc w:val="both"/>
              <w:textAlignment w:val="baseline"/>
              <w:rPr>
                <w:rFonts w:ascii="Calibri" w:hAnsi="Calibri" w:cs="Calibri"/>
                <w:sz w:val="20"/>
                <w:szCs w:val="20"/>
              </w:rPr>
            </w:pPr>
            <w:proofErr w:type="spellStart"/>
            <w:r>
              <w:rPr>
                <w:rStyle w:val="normaltextrun"/>
                <w:rFonts w:ascii="Calibri" w:hAnsi="Calibri" w:cs="Calibri"/>
                <w:color w:val="212121"/>
                <w:sz w:val="20"/>
                <w:szCs w:val="20"/>
              </w:rPr>
              <w:t>Fountzilas</w:t>
            </w:r>
            <w:proofErr w:type="spellEnd"/>
            <w:r>
              <w:rPr>
                <w:rStyle w:val="normaltextrun"/>
                <w:rFonts w:ascii="Calibri" w:hAnsi="Calibri" w:cs="Calibri"/>
                <w:color w:val="212121"/>
                <w:sz w:val="20"/>
                <w:szCs w:val="20"/>
              </w:rPr>
              <w:t xml:space="preserve"> E, </w:t>
            </w:r>
            <w:proofErr w:type="spellStart"/>
            <w:r>
              <w:rPr>
                <w:rStyle w:val="normaltextrun"/>
                <w:rFonts w:ascii="Calibri" w:hAnsi="Calibri" w:cs="Calibri"/>
                <w:color w:val="212121"/>
                <w:sz w:val="20"/>
                <w:szCs w:val="20"/>
              </w:rPr>
              <w:t>Tsimberidou</w:t>
            </w:r>
            <w:proofErr w:type="spellEnd"/>
            <w:r>
              <w:rPr>
                <w:rStyle w:val="normaltextrun"/>
                <w:rFonts w:ascii="Calibri" w:hAnsi="Calibri" w:cs="Calibri"/>
                <w:color w:val="212121"/>
                <w:sz w:val="20"/>
                <w:szCs w:val="20"/>
              </w:rPr>
              <w:t xml:space="preserve"> AM, Vo HH, </w:t>
            </w:r>
            <w:proofErr w:type="spellStart"/>
            <w:r>
              <w:rPr>
                <w:rStyle w:val="normaltextrun"/>
                <w:rFonts w:ascii="Calibri" w:hAnsi="Calibri" w:cs="Calibri"/>
                <w:color w:val="212121"/>
                <w:sz w:val="20"/>
                <w:szCs w:val="20"/>
              </w:rPr>
              <w:t>Kurzrock</w:t>
            </w:r>
            <w:proofErr w:type="spellEnd"/>
            <w:r>
              <w:rPr>
                <w:rStyle w:val="normaltextrun"/>
                <w:rFonts w:ascii="Calibri" w:hAnsi="Calibri" w:cs="Calibri"/>
                <w:color w:val="212121"/>
                <w:sz w:val="20"/>
                <w:szCs w:val="20"/>
              </w:rPr>
              <w:t xml:space="preserve"> R. Clinical trial design in the era of precision medicine. Genome Med. 2022 Aug 31;14(1):101. </w:t>
            </w:r>
            <w:proofErr w:type="spellStart"/>
            <w:r>
              <w:rPr>
                <w:rStyle w:val="normaltextrun"/>
                <w:rFonts w:ascii="Calibri" w:hAnsi="Calibri" w:cs="Calibri"/>
                <w:color w:val="212121"/>
                <w:sz w:val="20"/>
                <w:szCs w:val="20"/>
              </w:rPr>
              <w:t>doi</w:t>
            </w:r>
            <w:proofErr w:type="spellEnd"/>
            <w:r>
              <w:rPr>
                <w:rStyle w:val="normaltextrun"/>
                <w:rFonts w:ascii="Calibri" w:hAnsi="Calibri" w:cs="Calibri"/>
                <w:color w:val="212121"/>
                <w:sz w:val="20"/>
                <w:szCs w:val="20"/>
              </w:rPr>
              <w:t>: 10.1186/s13073-022-01102-1. PMID: 36045401; PMCID: PMC9428375.</w:t>
            </w:r>
            <w:r>
              <w:rPr>
                <w:rStyle w:val="eop"/>
                <w:rFonts w:ascii="Calibri" w:hAnsi="Calibri" w:cs="Calibri"/>
                <w:color w:val="212121"/>
                <w:sz w:val="20"/>
                <w:szCs w:val="20"/>
              </w:rPr>
              <w:t> </w:t>
            </w:r>
          </w:p>
          <w:p w14:paraId="2B46ADF5" w14:textId="77777777" w:rsidR="00950663" w:rsidRDefault="00950663" w:rsidP="00950663">
            <w:pPr>
              <w:pStyle w:val="paragraph"/>
              <w:numPr>
                <w:ilvl w:val="0"/>
                <w:numId w:val="5"/>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color w:val="212121"/>
                <w:sz w:val="20"/>
                <w:szCs w:val="20"/>
              </w:rPr>
              <w:t xml:space="preserve">Ahmed Z. Practicing precision medicine with intelligently integrative clinical and multi-omics data analysis. Hum Genomics. 2020 Oct 2;14(1):35. </w:t>
            </w:r>
            <w:proofErr w:type="spellStart"/>
            <w:r>
              <w:rPr>
                <w:rStyle w:val="normaltextrun"/>
                <w:rFonts w:ascii="Calibri" w:hAnsi="Calibri" w:cs="Calibri"/>
                <w:color w:val="212121"/>
                <w:sz w:val="20"/>
                <w:szCs w:val="20"/>
              </w:rPr>
              <w:t>doi</w:t>
            </w:r>
            <w:proofErr w:type="spellEnd"/>
            <w:r>
              <w:rPr>
                <w:rStyle w:val="normaltextrun"/>
                <w:rFonts w:ascii="Calibri" w:hAnsi="Calibri" w:cs="Calibri"/>
                <w:color w:val="212121"/>
                <w:sz w:val="20"/>
                <w:szCs w:val="20"/>
              </w:rPr>
              <w:t>: 10.1186/s40246-020-00287-z. PMID: 33008459; PMCID: PMC7530549.</w:t>
            </w:r>
            <w:r>
              <w:rPr>
                <w:rStyle w:val="eop"/>
                <w:rFonts w:ascii="Calibri" w:hAnsi="Calibri" w:cs="Calibri"/>
                <w:color w:val="212121"/>
                <w:sz w:val="20"/>
                <w:szCs w:val="20"/>
              </w:rPr>
              <w:t> </w:t>
            </w:r>
          </w:p>
          <w:p w14:paraId="695BAFB8" w14:textId="509DA13B" w:rsidR="00C764B2" w:rsidRPr="00D82947" w:rsidRDefault="00950663" w:rsidP="00ED69E6">
            <w:pPr>
              <w:pStyle w:val="paragraph"/>
              <w:numPr>
                <w:ilvl w:val="0"/>
                <w:numId w:val="6"/>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sz w:val="20"/>
                <w:szCs w:val="20"/>
              </w:rPr>
              <w:t xml:space="preserve">Sutton, R. T., </w:t>
            </w:r>
            <w:proofErr w:type="spellStart"/>
            <w:r>
              <w:rPr>
                <w:rStyle w:val="normaltextrun"/>
                <w:rFonts w:ascii="Calibri" w:hAnsi="Calibri" w:cs="Calibri"/>
                <w:sz w:val="20"/>
                <w:szCs w:val="20"/>
              </w:rPr>
              <w:t>Pincock</w:t>
            </w:r>
            <w:proofErr w:type="spellEnd"/>
            <w:r>
              <w:rPr>
                <w:rStyle w:val="normaltextrun"/>
                <w:rFonts w:ascii="Calibri" w:hAnsi="Calibri" w:cs="Calibri"/>
                <w:sz w:val="20"/>
                <w:szCs w:val="20"/>
              </w:rPr>
              <w:t xml:space="preserve">, D., Baumgart, D. C., Sadowski, D. C., </w:t>
            </w:r>
            <w:proofErr w:type="spellStart"/>
            <w:r>
              <w:rPr>
                <w:rStyle w:val="normaltextrun"/>
                <w:rFonts w:ascii="Calibri" w:hAnsi="Calibri" w:cs="Calibri"/>
                <w:sz w:val="20"/>
                <w:szCs w:val="20"/>
              </w:rPr>
              <w:t>Fedorak</w:t>
            </w:r>
            <w:proofErr w:type="spellEnd"/>
            <w:r>
              <w:rPr>
                <w:rStyle w:val="normaltextrun"/>
                <w:rFonts w:ascii="Calibri" w:hAnsi="Calibri" w:cs="Calibri"/>
                <w:sz w:val="20"/>
                <w:szCs w:val="20"/>
              </w:rPr>
              <w:t xml:space="preserve">, R. N. &amp; </w:t>
            </w:r>
            <w:proofErr w:type="spellStart"/>
            <w:r>
              <w:rPr>
                <w:rStyle w:val="normaltextrun"/>
                <w:rFonts w:ascii="Calibri" w:hAnsi="Calibri" w:cs="Calibri"/>
                <w:sz w:val="20"/>
                <w:szCs w:val="20"/>
              </w:rPr>
              <w:t>Kroeker</w:t>
            </w:r>
            <w:proofErr w:type="spellEnd"/>
            <w:r>
              <w:rPr>
                <w:rStyle w:val="normaltextrun"/>
                <w:rFonts w:ascii="Calibri" w:hAnsi="Calibri" w:cs="Calibri"/>
                <w:sz w:val="20"/>
                <w:szCs w:val="20"/>
              </w:rPr>
              <w:t xml:space="preserve">, K. I. An overview of clinical decision support systems: benefits, risks, and strategies for success. </w:t>
            </w:r>
            <w:proofErr w:type="spellStart"/>
            <w:r>
              <w:rPr>
                <w:rStyle w:val="normaltextrun"/>
                <w:rFonts w:ascii="Calibri" w:hAnsi="Calibri" w:cs="Calibri"/>
                <w:i/>
                <w:iCs/>
                <w:sz w:val="20"/>
                <w:szCs w:val="20"/>
              </w:rPr>
              <w:t>npj</w:t>
            </w:r>
            <w:proofErr w:type="spellEnd"/>
            <w:r>
              <w:rPr>
                <w:rStyle w:val="normaltextrun"/>
                <w:rFonts w:ascii="Calibri" w:hAnsi="Calibri" w:cs="Calibri"/>
                <w:i/>
                <w:iCs/>
                <w:sz w:val="20"/>
                <w:szCs w:val="20"/>
              </w:rPr>
              <w:t xml:space="preserve"> Digit. Med.</w:t>
            </w:r>
            <w:r>
              <w:rPr>
                <w:rStyle w:val="normaltextrun"/>
                <w:rFonts w:ascii="Calibri" w:hAnsi="Calibri" w:cs="Calibri"/>
                <w:sz w:val="20"/>
                <w:szCs w:val="20"/>
              </w:rPr>
              <w:t xml:space="preserve"> </w:t>
            </w:r>
            <w:r>
              <w:rPr>
                <w:rStyle w:val="normaltextrun"/>
                <w:rFonts w:ascii="Calibri" w:hAnsi="Calibri" w:cs="Calibri"/>
                <w:b/>
                <w:bCs/>
                <w:sz w:val="20"/>
                <w:szCs w:val="20"/>
              </w:rPr>
              <w:t>3</w:t>
            </w:r>
            <w:r>
              <w:rPr>
                <w:rStyle w:val="normaltextrun"/>
                <w:rFonts w:ascii="Calibri" w:hAnsi="Calibri" w:cs="Calibri"/>
                <w:sz w:val="20"/>
                <w:szCs w:val="20"/>
              </w:rPr>
              <w:t>, 1–10 (2020).</w:t>
            </w:r>
            <w:r>
              <w:rPr>
                <w:rStyle w:val="eop"/>
                <w:rFonts w:ascii="Calibri" w:hAnsi="Calibri" w:cs="Calibri"/>
                <w:sz w:val="20"/>
                <w:szCs w:val="20"/>
              </w:rPr>
              <w:t> </w:t>
            </w: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291"/>
    <w:multiLevelType w:val="multilevel"/>
    <w:tmpl w:val="25582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676B"/>
    <w:multiLevelType w:val="hybridMultilevel"/>
    <w:tmpl w:val="62A6D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76DAF"/>
    <w:multiLevelType w:val="multilevel"/>
    <w:tmpl w:val="3068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52507"/>
    <w:multiLevelType w:val="multilevel"/>
    <w:tmpl w:val="4EF0C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041CE"/>
    <w:multiLevelType w:val="hybridMultilevel"/>
    <w:tmpl w:val="05A83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92429"/>
    <w:multiLevelType w:val="multilevel"/>
    <w:tmpl w:val="D6EA8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4858F4"/>
    <w:multiLevelType w:val="multilevel"/>
    <w:tmpl w:val="81840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61D7E"/>
    <w:multiLevelType w:val="multilevel"/>
    <w:tmpl w:val="6396D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7E4FAA"/>
    <w:multiLevelType w:val="hybridMultilevel"/>
    <w:tmpl w:val="C152E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252D8"/>
    <w:rsid w:val="00066C81"/>
    <w:rsid w:val="002B13F9"/>
    <w:rsid w:val="002B1F17"/>
    <w:rsid w:val="00311FE3"/>
    <w:rsid w:val="0045089B"/>
    <w:rsid w:val="007F55F7"/>
    <w:rsid w:val="0080712E"/>
    <w:rsid w:val="00950663"/>
    <w:rsid w:val="00A84365"/>
    <w:rsid w:val="00BA458E"/>
    <w:rsid w:val="00BB70D0"/>
    <w:rsid w:val="00BF74D1"/>
    <w:rsid w:val="00C764B2"/>
    <w:rsid w:val="00D82947"/>
    <w:rsid w:val="00F765A8"/>
    <w:rsid w:val="00FD6B09"/>
    <w:rsid w:val="0529D88E"/>
    <w:rsid w:val="132640ED"/>
    <w:rsid w:val="171CD091"/>
    <w:rsid w:val="23240C4C"/>
    <w:rsid w:val="3B058525"/>
    <w:rsid w:val="4254E9C2"/>
    <w:rsid w:val="53CFFED8"/>
    <w:rsid w:val="55DB2C4E"/>
    <w:rsid w:val="5B764E21"/>
    <w:rsid w:val="60443F2F"/>
    <w:rsid w:val="7495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50663"/>
  </w:style>
  <w:style w:type="paragraph" w:customStyle="1" w:styleId="paragraph">
    <w:name w:val="paragraph"/>
    <w:basedOn w:val="Normal"/>
    <w:rsid w:val="009506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950663"/>
  </w:style>
  <w:style w:type="character" w:customStyle="1" w:styleId="scxw221365572">
    <w:name w:val="scxw221365572"/>
    <w:basedOn w:val="DefaultParagraphFont"/>
    <w:rsid w:val="00950663"/>
  </w:style>
  <w:style w:type="character" w:customStyle="1" w:styleId="tabchar">
    <w:name w:val="tabchar"/>
    <w:basedOn w:val="DefaultParagraphFont"/>
    <w:rsid w:val="00950663"/>
  </w:style>
  <w:style w:type="character" w:styleId="CommentReference">
    <w:name w:val="annotation reference"/>
    <w:basedOn w:val="DefaultParagraphFont"/>
    <w:uiPriority w:val="99"/>
    <w:semiHidden/>
    <w:unhideWhenUsed/>
    <w:rsid w:val="00FD6B09"/>
    <w:rPr>
      <w:sz w:val="16"/>
      <w:szCs w:val="16"/>
    </w:rPr>
  </w:style>
  <w:style w:type="paragraph" w:styleId="CommentText">
    <w:name w:val="annotation text"/>
    <w:basedOn w:val="Normal"/>
    <w:link w:val="CommentTextChar"/>
    <w:uiPriority w:val="99"/>
    <w:semiHidden/>
    <w:unhideWhenUsed/>
    <w:rsid w:val="00FD6B09"/>
    <w:pPr>
      <w:spacing w:line="240" w:lineRule="auto"/>
    </w:pPr>
    <w:rPr>
      <w:sz w:val="20"/>
      <w:szCs w:val="20"/>
    </w:rPr>
  </w:style>
  <w:style w:type="character" w:customStyle="1" w:styleId="CommentTextChar">
    <w:name w:val="Comment Text Char"/>
    <w:basedOn w:val="DefaultParagraphFont"/>
    <w:link w:val="CommentText"/>
    <w:uiPriority w:val="99"/>
    <w:semiHidden/>
    <w:rsid w:val="00FD6B09"/>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D6B09"/>
    <w:rPr>
      <w:b/>
      <w:bCs/>
    </w:rPr>
  </w:style>
  <w:style w:type="character" w:customStyle="1" w:styleId="CommentSubjectChar">
    <w:name w:val="Comment Subject Char"/>
    <w:basedOn w:val="CommentTextChar"/>
    <w:link w:val="CommentSubject"/>
    <w:uiPriority w:val="99"/>
    <w:semiHidden/>
    <w:rsid w:val="00FD6B09"/>
    <w:rPr>
      <w:rFonts w:ascii="Calibri" w:eastAsia="Calibri" w:hAnsi="Calibri" w:cs="Calibri"/>
      <w:b/>
      <w:bCs/>
      <w:color w:val="000000"/>
      <w:sz w:val="20"/>
      <w:szCs w:val="20"/>
      <w:lang w:eastAsia="en-GB"/>
    </w:rPr>
  </w:style>
  <w:style w:type="paragraph" w:styleId="Revision">
    <w:name w:val="Revision"/>
    <w:hidden/>
    <w:uiPriority w:val="99"/>
    <w:semiHidden/>
    <w:rsid w:val="007F55F7"/>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B13F9"/>
    <w:rPr>
      <w:color w:val="0563C1" w:themeColor="hyperlink"/>
      <w:u w:val="single"/>
    </w:rPr>
  </w:style>
  <w:style w:type="character" w:styleId="UnresolvedMention">
    <w:name w:val="Unresolved Mention"/>
    <w:basedOn w:val="DefaultParagraphFont"/>
    <w:uiPriority w:val="99"/>
    <w:semiHidden/>
    <w:unhideWhenUsed/>
    <w:rsid w:val="002B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45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732">
          <w:marLeft w:val="0"/>
          <w:marRight w:val="0"/>
          <w:marTop w:val="0"/>
          <w:marBottom w:val="0"/>
          <w:divBdr>
            <w:top w:val="none" w:sz="0" w:space="0" w:color="auto"/>
            <w:left w:val="none" w:sz="0" w:space="0" w:color="auto"/>
            <w:bottom w:val="none" w:sz="0" w:space="0" w:color="auto"/>
            <w:right w:val="none" w:sz="0" w:space="0" w:color="auto"/>
          </w:divBdr>
        </w:div>
        <w:div w:id="1452826233">
          <w:marLeft w:val="0"/>
          <w:marRight w:val="0"/>
          <w:marTop w:val="0"/>
          <w:marBottom w:val="0"/>
          <w:divBdr>
            <w:top w:val="none" w:sz="0" w:space="0" w:color="auto"/>
            <w:left w:val="none" w:sz="0" w:space="0" w:color="auto"/>
            <w:bottom w:val="none" w:sz="0" w:space="0" w:color="auto"/>
            <w:right w:val="none" w:sz="0" w:space="0" w:color="auto"/>
          </w:divBdr>
        </w:div>
        <w:div w:id="1865441127">
          <w:marLeft w:val="0"/>
          <w:marRight w:val="0"/>
          <w:marTop w:val="0"/>
          <w:marBottom w:val="0"/>
          <w:divBdr>
            <w:top w:val="none" w:sz="0" w:space="0" w:color="auto"/>
            <w:left w:val="none" w:sz="0" w:space="0" w:color="auto"/>
            <w:bottom w:val="none" w:sz="0" w:space="0" w:color="auto"/>
            <w:right w:val="none" w:sz="0" w:space="0" w:color="auto"/>
          </w:divBdr>
        </w:div>
        <w:div w:id="821045511">
          <w:marLeft w:val="0"/>
          <w:marRight w:val="0"/>
          <w:marTop w:val="0"/>
          <w:marBottom w:val="0"/>
          <w:divBdr>
            <w:top w:val="none" w:sz="0" w:space="0" w:color="auto"/>
            <w:left w:val="none" w:sz="0" w:space="0" w:color="auto"/>
            <w:bottom w:val="none" w:sz="0" w:space="0" w:color="auto"/>
            <w:right w:val="none" w:sz="0" w:space="0" w:color="auto"/>
          </w:divBdr>
        </w:div>
        <w:div w:id="2033528353">
          <w:marLeft w:val="0"/>
          <w:marRight w:val="0"/>
          <w:marTop w:val="0"/>
          <w:marBottom w:val="0"/>
          <w:divBdr>
            <w:top w:val="none" w:sz="0" w:space="0" w:color="auto"/>
            <w:left w:val="none" w:sz="0" w:space="0" w:color="auto"/>
            <w:bottom w:val="none" w:sz="0" w:space="0" w:color="auto"/>
            <w:right w:val="none" w:sz="0" w:space="0" w:color="auto"/>
          </w:divBdr>
        </w:div>
        <w:div w:id="1809395313">
          <w:marLeft w:val="0"/>
          <w:marRight w:val="0"/>
          <w:marTop w:val="0"/>
          <w:marBottom w:val="0"/>
          <w:divBdr>
            <w:top w:val="none" w:sz="0" w:space="0" w:color="auto"/>
            <w:left w:val="none" w:sz="0" w:space="0" w:color="auto"/>
            <w:bottom w:val="none" w:sz="0" w:space="0" w:color="auto"/>
            <w:right w:val="none" w:sz="0" w:space="0" w:color="auto"/>
          </w:divBdr>
        </w:div>
      </w:divsChild>
    </w:div>
    <w:div w:id="915289562">
      <w:bodyDiv w:val="1"/>
      <w:marLeft w:val="0"/>
      <w:marRight w:val="0"/>
      <w:marTop w:val="0"/>
      <w:marBottom w:val="0"/>
      <w:divBdr>
        <w:top w:val="none" w:sz="0" w:space="0" w:color="auto"/>
        <w:left w:val="none" w:sz="0" w:space="0" w:color="auto"/>
        <w:bottom w:val="none" w:sz="0" w:space="0" w:color="auto"/>
        <w:right w:val="none" w:sz="0" w:space="0" w:color="auto"/>
      </w:divBdr>
      <w:divsChild>
        <w:div w:id="1412463097">
          <w:marLeft w:val="0"/>
          <w:marRight w:val="0"/>
          <w:marTop w:val="0"/>
          <w:marBottom w:val="0"/>
          <w:divBdr>
            <w:top w:val="none" w:sz="0" w:space="0" w:color="auto"/>
            <w:left w:val="none" w:sz="0" w:space="0" w:color="auto"/>
            <w:bottom w:val="none" w:sz="0" w:space="0" w:color="auto"/>
            <w:right w:val="none" w:sz="0" w:space="0" w:color="auto"/>
          </w:divBdr>
        </w:div>
        <w:div w:id="5354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free@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talie.Armstrong@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1CD8C-31B8-48AF-8845-B6AB0A40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0E860-DE5F-44E6-A797-2070D92396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E72C3-0E94-420F-AE70-25AC1CA0D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4552</Characters>
  <Application>Microsoft Office Word</Application>
  <DocSecurity>0</DocSecurity>
  <Lines>37</Lines>
  <Paragraphs>10</Paragraphs>
  <ScaleCrop>false</ScaleCrop>
  <Company>University of Leicester</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2023-03-09T08:43:00Z</dcterms:created>
  <dcterms:modified xsi:type="dcterms:W3CDTF">2023-03-14T11:42:00Z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