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5A4E" w14:textId="1471E812" w:rsidR="00066C81" w:rsidRPr="00BC315D" w:rsidRDefault="00BC315D" w:rsidP="00066C81">
      <w:pPr>
        <w:spacing w:after="0" w:line="240" w:lineRule="auto"/>
        <w:rPr>
          <w:b/>
          <w:bCs/>
        </w:rPr>
      </w:pPr>
      <w:r w:rsidRPr="00BC315D">
        <w:rPr>
          <w:b/>
          <w:bCs/>
        </w:rPr>
        <w:t>University of Leicester</w:t>
      </w:r>
    </w:p>
    <w:p w14:paraId="70E0A7B8" w14:textId="77777777" w:rsidR="00BC315D" w:rsidRDefault="00BC315D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58D64656" w14:textId="77777777" w:rsidTr="53340E4B">
        <w:tc>
          <w:tcPr>
            <w:tcW w:w="3227" w:type="dxa"/>
            <w:shd w:val="clear" w:color="auto" w:fill="F2F2F2" w:themeFill="background1" w:themeFillShade="F2"/>
          </w:tcPr>
          <w:p w14:paraId="141A465E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4F0A4A6E" w14:textId="329C1FAD" w:rsidR="00066C81" w:rsidRPr="00066C81" w:rsidRDefault="00A84365" w:rsidP="53340E4B">
            <w:pPr>
              <w:spacing w:line="259" w:lineRule="auto"/>
            </w:pPr>
            <w:r>
              <w:t>BRC</w:t>
            </w:r>
            <w:r w:rsidR="7C567DD3">
              <w:t xml:space="preserve"> Studentships</w:t>
            </w:r>
          </w:p>
        </w:tc>
      </w:tr>
    </w:tbl>
    <w:p w14:paraId="2F552C0E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75AE8DCB" w14:textId="77777777" w:rsidTr="28ACC798">
        <w:tc>
          <w:tcPr>
            <w:tcW w:w="3227" w:type="dxa"/>
            <w:shd w:val="clear" w:color="auto" w:fill="F2F2F2" w:themeFill="background1" w:themeFillShade="F2"/>
          </w:tcPr>
          <w:p w14:paraId="7187F49E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07C041F2" w14:textId="23515FA5" w:rsidR="00066C81" w:rsidRPr="00066C81" w:rsidRDefault="383149BB" w:rsidP="00066C81">
            <w:r>
              <w:rPr>
                <w:rStyle w:val="normaltextrun"/>
                <w:sz w:val="21"/>
                <w:szCs w:val="21"/>
                <w:bdr w:val="none" w:sz="0" w:space="0" w:color="auto" w:frame="1"/>
              </w:rPr>
              <w:t xml:space="preserve">Dr </w:t>
            </w:r>
            <w:r w:rsidR="00736CE8">
              <w:rPr>
                <w:rStyle w:val="normaltextrun"/>
                <w:sz w:val="21"/>
                <w:szCs w:val="21"/>
                <w:bdr w:val="none" w:sz="0" w:space="0" w:color="auto" w:frame="1"/>
              </w:rPr>
              <w:t>Luke Baker</w:t>
            </w:r>
          </w:p>
        </w:tc>
      </w:tr>
      <w:tr w:rsidR="00066C81" w:rsidRPr="00066C81" w14:paraId="62BA6F73" w14:textId="77777777" w:rsidTr="28ACC798">
        <w:tc>
          <w:tcPr>
            <w:tcW w:w="3227" w:type="dxa"/>
            <w:shd w:val="clear" w:color="auto" w:fill="F2F2F2" w:themeFill="background1" w:themeFillShade="F2"/>
          </w:tcPr>
          <w:p w14:paraId="44829D61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61DC7D29" w14:textId="5FBA16E3" w:rsidR="00066C81" w:rsidRPr="00066C81" w:rsidRDefault="00736CE8" w:rsidP="00066C81">
            <w:r>
              <w:t>Respiratory Sciences</w:t>
            </w:r>
          </w:p>
        </w:tc>
      </w:tr>
      <w:tr w:rsidR="00A84365" w:rsidRPr="00066C81" w14:paraId="0708F96B" w14:textId="77777777" w:rsidTr="28ACC798">
        <w:tc>
          <w:tcPr>
            <w:tcW w:w="3227" w:type="dxa"/>
            <w:shd w:val="clear" w:color="auto" w:fill="F2F2F2" w:themeFill="background1" w:themeFillShade="F2"/>
          </w:tcPr>
          <w:p w14:paraId="25527BA6" w14:textId="77777777" w:rsidR="00A84365" w:rsidRPr="00066C81" w:rsidRDefault="00A84365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5A764A30" w14:textId="7C285929" w:rsidR="00A84365" w:rsidRPr="00066C81" w:rsidRDefault="00736CE8" w:rsidP="00066C81">
            <w:r>
              <w:t>Lab69@leicester.ac.uk</w:t>
            </w:r>
          </w:p>
        </w:tc>
      </w:tr>
    </w:tbl>
    <w:p w14:paraId="7E553983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1C40C050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268C46E9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6E8916E8" w14:textId="2C8AEDF4" w:rsidR="00066C81" w:rsidRDefault="00736CE8" w:rsidP="00ED69E6">
            <w:r>
              <w:rPr>
                <w:rStyle w:val="normaltextrun"/>
                <w:sz w:val="21"/>
                <w:szCs w:val="21"/>
                <w:bdr w:val="none" w:sz="0" w:space="0" w:color="auto" w:frame="1"/>
              </w:rPr>
              <w:t>Dr Neil Greening</w:t>
            </w:r>
          </w:p>
        </w:tc>
      </w:tr>
      <w:tr w:rsidR="00066C81" w14:paraId="147DA61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B1E849E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5CD28D25" w14:textId="73DA0C8B" w:rsidR="00066C81" w:rsidRDefault="00736CE8" w:rsidP="00ED69E6">
            <w:r>
              <w:t>Respiratory Sciences</w:t>
            </w:r>
          </w:p>
        </w:tc>
      </w:tr>
      <w:tr w:rsidR="00A84365" w14:paraId="5C5F8BEE" w14:textId="77777777" w:rsidTr="000E23E5">
        <w:tc>
          <w:tcPr>
            <w:tcW w:w="3256" w:type="dxa"/>
            <w:shd w:val="clear" w:color="auto" w:fill="F2F2F2" w:themeFill="background1" w:themeFillShade="F2"/>
          </w:tcPr>
          <w:p w14:paraId="3358F461" w14:textId="77777777" w:rsidR="00A84365" w:rsidRDefault="00A84365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43E8FDDB" w14:textId="7E81D222" w:rsidR="00A84365" w:rsidRDefault="00736CE8" w:rsidP="00ED69E6">
            <w:r>
              <w:rPr>
                <w:rStyle w:val="normaltextrun"/>
                <w:bdr w:val="none" w:sz="0" w:space="0" w:color="auto" w:frame="1"/>
              </w:rPr>
              <w:t>neil.greening@leicester.ac.uk</w:t>
            </w:r>
          </w:p>
        </w:tc>
      </w:tr>
    </w:tbl>
    <w:p w14:paraId="58880D57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61D26F59" w14:textId="77777777" w:rsidTr="28ACC798">
        <w:tc>
          <w:tcPr>
            <w:tcW w:w="3256" w:type="dxa"/>
            <w:shd w:val="clear" w:color="auto" w:fill="F2F2F2" w:themeFill="background1" w:themeFillShade="F2"/>
          </w:tcPr>
          <w:p w14:paraId="7674A150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735D6AAD" w14:textId="25819BFF" w:rsidR="00066C81" w:rsidRDefault="1639D31F" w:rsidP="00ED69E6">
            <w:r>
              <w:rPr>
                <w:rStyle w:val="normaltextrun"/>
                <w:sz w:val="21"/>
                <w:szCs w:val="21"/>
                <w:bdr w:val="none" w:sz="0" w:space="0" w:color="auto" w:frame="1"/>
              </w:rPr>
              <w:t xml:space="preserve">Dr </w:t>
            </w:r>
            <w:r w:rsidR="00736CE8">
              <w:rPr>
                <w:rStyle w:val="normaltextrun"/>
                <w:sz w:val="21"/>
                <w:szCs w:val="21"/>
                <w:bdr w:val="none" w:sz="0" w:space="0" w:color="auto" w:frame="1"/>
              </w:rPr>
              <w:t>Thomas Wilkinson</w:t>
            </w:r>
          </w:p>
        </w:tc>
      </w:tr>
    </w:tbl>
    <w:p w14:paraId="610696F3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54D9DE83" w14:textId="77777777" w:rsidR="00066C81" w:rsidRPr="006B05B2" w:rsidRDefault="00066C81" w:rsidP="00066C8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066C81" w14:paraId="7614B409" w14:textId="77777777" w:rsidTr="00ED69E6">
        <w:tc>
          <w:tcPr>
            <w:tcW w:w="1980" w:type="dxa"/>
            <w:shd w:val="clear" w:color="auto" w:fill="F2F2F2" w:themeFill="background1" w:themeFillShade="F2"/>
          </w:tcPr>
          <w:p w14:paraId="453A398E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65BEE0FD" w14:textId="77777777" w:rsidR="00066C81" w:rsidRPr="00B11D52" w:rsidRDefault="00066C81" w:rsidP="00ED69E6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66CA3308" w14:textId="320AF851" w:rsidR="00066C81" w:rsidRDefault="00736CE8" w:rsidP="00ED69E6"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Understanding how resolution physiology influences skeletal muscle endotype in those with multiple long-term conditions (MLTCs)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</w:p>
        </w:tc>
      </w:tr>
      <w:tr w:rsidR="00066C81" w14:paraId="2503C890" w14:textId="77777777" w:rsidTr="00ED69E6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34BC052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C1DD7CA" w14:textId="77777777" w:rsidR="00066C81" w:rsidRDefault="00066C81" w:rsidP="00ED69E6">
            <w:r>
              <w:t>1.</w:t>
            </w:r>
          </w:p>
        </w:tc>
        <w:tc>
          <w:tcPr>
            <w:tcW w:w="6611" w:type="dxa"/>
          </w:tcPr>
          <w:p w14:paraId="7FEC3D97" w14:textId="452D58C9" w:rsidR="00066C81" w:rsidRDefault="00141A70" w:rsidP="00ED69E6">
            <w:r>
              <w:t>Sarcopenia prevalence in those with MLTCs</w:t>
            </w:r>
          </w:p>
        </w:tc>
      </w:tr>
      <w:tr w:rsidR="00066C81" w14:paraId="0ED3CAC5" w14:textId="77777777" w:rsidTr="00ED69E6">
        <w:tc>
          <w:tcPr>
            <w:tcW w:w="1980" w:type="dxa"/>
            <w:vMerge/>
            <w:shd w:val="clear" w:color="auto" w:fill="F2F2F2" w:themeFill="background1" w:themeFillShade="F2"/>
          </w:tcPr>
          <w:p w14:paraId="1D31F5C9" w14:textId="77777777" w:rsidR="00066C81" w:rsidRDefault="00066C81" w:rsidP="00ED69E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0AEDFB6" w14:textId="77777777" w:rsidR="00066C81" w:rsidRDefault="00066C81" w:rsidP="00ED69E6">
            <w:r>
              <w:t>2.</w:t>
            </w:r>
          </w:p>
        </w:tc>
        <w:tc>
          <w:tcPr>
            <w:tcW w:w="6611" w:type="dxa"/>
          </w:tcPr>
          <w:p w14:paraId="6FC90BBA" w14:textId="61110ACE" w:rsidR="00066C81" w:rsidRDefault="00141A70" w:rsidP="00ED69E6">
            <w:r>
              <w:t>Understanding the role of inflammation in sarcopenic endotype</w:t>
            </w:r>
          </w:p>
        </w:tc>
      </w:tr>
      <w:tr w:rsidR="00066C81" w14:paraId="5BF3F8A4" w14:textId="77777777" w:rsidTr="00ED69E6">
        <w:tc>
          <w:tcPr>
            <w:tcW w:w="1980" w:type="dxa"/>
            <w:vMerge/>
            <w:shd w:val="clear" w:color="auto" w:fill="F2F2F2" w:themeFill="background1" w:themeFillShade="F2"/>
          </w:tcPr>
          <w:p w14:paraId="6E16A621" w14:textId="77777777" w:rsidR="00066C81" w:rsidRDefault="00066C81" w:rsidP="00ED69E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5F03386" w14:textId="77777777" w:rsidR="00066C81" w:rsidRDefault="00066C81" w:rsidP="00ED69E6">
            <w:r>
              <w:t>3.</w:t>
            </w:r>
          </w:p>
        </w:tc>
        <w:tc>
          <w:tcPr>
            <w:tcW w:w="6611" w:type="dxa"/>
          </w:tcPr>
          <w:p w14:paraId="1AF59F7B" w14:textId="4CB62BEA" w:rsidR="00066C81" w:rsidRDefault="00141A70" w:rsidP="00ED69E6">
            <w:r>
              <w:t>Cluster specific mechanisms in those with MLTCs</w:t>
            </w:r>
          </w:p>
        </w:tc>
      </w:tr>
      <w:tr w:rsidR="00066C81" w14:paraId="5E9D4AA3" w14:textId="77777777" w:rsidTr="00ED69E6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99685F1" w14:textId="77777777" w:rsidR="00066C81" w:rsidRDefault="00066C81" w:rsidP="00066C81">
            <w:r>
              <w:rPr>
                <w:b/>
              </w:rPr>
              <w:t xml:space="preserve">Project Summary </w:t>
            </w:r>
          </w:p>
        </w:tc>
      </w:tr>
      <w:tr w:rsidR="00066C81" w14:paraId="45B09966" w14:textId="77777777" w:rsidTr="00ED69E6">
        <w:tc>
          <w:tcPr>
            <w:tcW w:w="9016" w:type="dxa"/>
            <w:gridSpan w:val="3"/>
          </w:tcPr>
          <w:p w14:paraId="401798AD" w14:textId="4AF03A6C" w:rsidR="007F1948" w:rsidRDefault="00736CE8" w:rsidP="00736C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  <w:r w:rsidRPr="00736CE8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Background</w:t>
            </w:r>
            <w:r w:rsidRPr="00736CE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: </w:t>
            </w:r>
            <w:r w:rsidRPr="00736CE8">
              <w:rPr>
                <w:rStyle w:val="normaltextrun"/>
              </w:rPr>
              <w:t>​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People with multiple long-term conditions (MLTCs) suffer from muscle loss and dysfunction, lead</w:t>
            </w:r>
            <w:r w:rsidR="007F194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ing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to reduced quality of life and poorer outcomes. Unresolved inflammation is a common characteristic in those with MLTCs</w:t>
            </w:r>
            <w:r w:rsidR="007F194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,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and as such presents an opportunity to intervene. The resolution of inflammation is an active process</w:t>
            </w:r>
            <w:r w:rsidR="007F194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directed by a set of compounds termed </w:t>
            </w:r>
            <w:proofErr w:type="spellStart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specialised</w:t>
            </w:r>
            <w:proofErr w:type="spellEnd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pro-resolving mediators (SPMs). </w:t>
            </w:r>
            <w:r w:rsidR="00141A70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To date, work has focused on understanding how systemic levels of SPM clusters are associated with disease severity in various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conditions, but work investigat</w:t>
            </w:r>
            <w:r w:rsidR="007F194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ing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tissue-specific responses to different SPMs and their mechanisms</w:t>
            </w:r>
            <w:r w:rsidR="007F194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is in its infancy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. Our group have shown that an SPM termed </w:t>
            </w:r>
            <w:proofErr w:type="spellStart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Resolvin</w:t>
            </w:r>
            <w:proofErr w:type="spellEnd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E1 is able to attenuate endotoxin-induced muscle loss </w:t>
            </w:r>
            <w:r w:rsidRPr="007F1948">
              <w:rPr>
                <w:rStyle w:val="normaltextrun"/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in</w:t>
            </w:r>
            <w:r w:rsidR="007F1948" w:rsidRPr="007F1948">
              <w:rPr>
                <w:rStyle w:val="normaltextrun"/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7F194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vitro</w:t>
            </w:r>
            <w:r w:rsidR="007F194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, whilst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other</w:t>
            </w:r>
            <w:r w:rsidR="007F194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s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have shown the potential for </w:t>
            </w:r>
            <w:proofErr w:type="spellStart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Resolvin</w:t>
            </w:r>
            <w:proofErr w:type="spellEnd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D1 to play a role in skeletal muscle in the context of ageing. </w:t>
            </w:r>
          </w:p>
          <w:p w14:paraId="608D4A07" w14:textId="77777777" w:rsidR="007F1948" w:rsidRDefault="007F1948" w:rsidP="00736C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  <w:p w14:paraId="3FA3C64D" w14:textId="275DE395" w:rsidR="00736CE8" w:rsidRPr="007F1948" w:rsidRDefault="007F1948" w:rsidP="00736C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T</w:t>
            </w:r>
            <w:r w:rsidR="00736CE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his project will seek to identify the role of SPMs in skeletal muscle loss and dysfunction in those with MLTCs, as a disease-agnostic mechanism which could have potential applications independent of MLTC combination.</w:t>
            </w:r>
            <w:r w:rsidR="00736CE8" w:rsidRPr="00736CE8">
              <w:rPr>
                <w:rStyle w:val="normaltextrun"/>
              </w:rPr>
              <w:t>​</w:t>
            </w:r>
            <w:r w:rsidR="00736CE8" w:rsidRPr="00736CE8">
              <w:rPr>
                <w:rStyle w:val="normaltextrun"/>
                <w:sz w:val="21"/>
                <w:szCs w:val="21"/>
                <w:lang w:val="en-US"/>
              </w:rPr>
              <w:t> </w:t>
            </w:r>
          </w:p>
          <w:p w14:paraId="2E2D8761" w14:textId="77777777" w:rsidR="00736CE8" w:rsidRPr="00736CE8" w:rsidRDefault="00736CE8" w:rsidP="00736C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  <w:p w14:paraId="08FB4E85" w14:textId="7EF5568D" w:rsidR="00736CE8" w:rsidRDefault="00736CE8" w:rsidP="00736C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1"/>
                <w:szCs w:val="21"/>
                <w:lang w:val="en-US"/>
              </w:rPr>
            </w:pPr>
            <w:r w:rsidRPr="00736CE8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Research Plan</w:t>
            </w:r>
            <w:r w:rsidRPr="00736CE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: </w:t>
            </w:r>
            <w:r w:rsidRPr="00736CE8">
              <w:rPr>
                <w:rStyle w:val="normaltextrun"/>
              </w:rPr>
              <w:t>​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The first stage of this project will be to conduct a systematic review</w:t>
            </w:r>
            <w:r w:rsidR="007F194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to understand the prevalence of sarcopenia in those with MLTCs. This will help inform whether there are specific disease clusters which have a greater prevalence of sarcopenia. </w:t>
            </w:r>
            <w:r w:rsidR="00141A70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The applicant will also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use </w:t>
            </w:r>
            <w:r w:rsidR="00141A70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published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="00141A70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in-vitro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methodologies to investigate the mechanistic role of inflammatory-induced muscle loss and how SPMs influence skeletal muscle phenotype. To pull findings together, </w:t>
            </w:r>
            <w:r w:rsidR="00141A70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patient investigations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="00141A70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in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those with MLTCs </w:t>
            </w:r>
            <w:r w:rsidR="00141A70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will confirm the translation of mechanism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in patient biopsies, coupled with lipidomic analysis to investigate SPM circulatory profiles in different disease clusters.</w:t>
            </w:r>
            <w:r w:rsidRPr="00736CE8">
              <w:rPr>
                <w:rStyle w:val="normaltextrun"/>
              </w:rPr>
              <w:t>​</w:t>
            </w:r>
            <w:r w:rsidRPr="00736CE8">
              <w:rPr>
                <w:rStyle w:val="normaltextrun"/>
                <w:sz w:val="21"/>
                <w:szCs w:val="21"/>
                <w:lang w:val="en-US"/>
              </w:rPr>
              <w:t> </w:t>
            </w:r>
          </w:p>
          <w:p w14:paraId="3F82C622" w14:textId="77777777" w:rsidR="00736CE8" w:rsidRPr="00736CE8" w:rsidRDefault="00736CE8" w:rsidP="00736C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  <w:p w14:paraId="2BFFEFED" w14:textId="11FF87EC" w:rsidR="00736CE8" w:rsidRDefault="00736CE8" w:rsidP="00736CE8">
            <w:pPr>
              <w:pStyle w:val="paragraph"/>
              <w:spacing w:before="0" w:beforeAutospacing="0" w:after="0" w:afterAutospacing="0"/>
              <w:ind w:right="-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36CE8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Expected outcomes and impact:</w:t>
            </w:r>
            <w:r w:rsidRPr="00736CE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36CE8">
              <w:rPr>
                <w:rStyle w:val="normaltextrun"/>
              </w:rPr>
              <w:t>​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This project is expected to have a significant impact in the fields of sarcopenia in MLTCs and resolution physiology. </w:t>
            </w:r>
            <w:r w:rsidR="007F1948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It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will shed light on potential disease clusters which present with sarcopenia and make significant strides into understanding how dysfunctional SPM-related processes may contribute to changes in skeletal muscle </w:t>
            </w:r>
            <w:r w:rsidR="00141A70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endotype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in these populations. </w:t>
            </w:r>
          </w:p>
          <w:p w14:paraId="28043D4E" w14:textId="77777777" w:rsidR="00066C81" w:rsidRDefault="00066C81" w:rsidP="00ED69E6">
            <w:pPr>
              <w:rPr>
                <w:b/>
              </w:rPr>
            </w:pPr>
          </w:p>
        </w:tc>
      </w:tr>
      <w:tr w:rsidR="00C764B2" w14:paraId="7D71261E" w14:textId="77777777" w:rsidTr="00ED69E6">
        <w:tc>
          <w:tcPr>
            <w:tcW w:w="9016" w:type="dxa"/>
            <w:gridSpan w:val="3"/>
          </w:tcPr>
          <w:p w14:paraId="56DC16AB" w14:textId="77777777" w:rsidR="00C764B2" w:rsidRDefault="00C764B2" w:rsidP="00ED69E6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14:paraId="1A9A27C9" w14:textId="77777777" w:rsidR="00141A70" w:rsidRDefault="00141A70" w:rsidP="00141A7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t xml:space="preserve">Baker, L. A., Martin, N. R. W., Kimber, M. C., Pritchard, G. J., Lindley, M. R., &amp; Lewis, M. P. (2018). </w:t>
            </w:r>
            <w:proofErr w:type="spellStart"/>
            <w:r>
              <w:t>Resolvin</w:t>
            </w:r>
            <w:proofErr w:type="spellEnd"/>
            <w:r>
              <w:t xml:space="preserve"> E1 (</w:t>
            </w:r>
            <w:proofErr w:type="spellStart"/>
            <w:r>
              <w:t>R</w:t>
            </w:r>
            <w:r>
              <w:rPr>
                <w:sz w:val="18"/>
                <w:szCs w:val="18"/>
                <w:vertAlign w:val="subscript"/>
              </w:rPr>
              <w:t>v</w:t>
            </w:r>
            <w:proofErr w:type="spellEnd"/>
            <w:r>
              <w:rPr>
                <w:rStyle w:val="apple-converted-space"/>
              </w:rPr>
              <w:t> </w:t>
            </w:r>
            <w:r>
              <w:t>E</w:t>
            </w:r>
            <w:proofErr w:type="gramStart"/>
            <w:r>
              <w:rPr>
                <w:sz w:val="18"/>
                <w:szCs w:val="18"/>
                <w:vertAlign w:val="subscript"/>
              </w:rPr>
              <w:t>1</w:t>
            </w:r>
            <w:r>
              <w:rPr>
                <w:rStyle w:val="apple-converted-space"/>
              </w:rPr>
              <w:t> </w:t>
            </w:r>
            <w:r>
              <w:t>)</w:t>
            </w:r>
            <w:proofErr w:type="gramEnd"/>
            <w:r>
              <w:t xml:space="preserve"> attenuates LPS induced inflammation and subsequent atrophy in C2C12 myotubes.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Journal of cellular biochemistry</w:t>
            </w:r>
            <w:r>
              <w:t>,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119</w:t>
            </w:r>
            <w:r>
              <w:t>(7), 6094–6103. https://doi.org/10.1002/jcb.26807</w:t>
            </w:r>
          </w:p>
          <w:p w14:paraId="695BAFB8" w14:textId="577A5988" w:rsidR="00C764B2" w:rsidRPr="00141A70" w:rsidRDefault="00141A70" w:rsidP="00141A70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author"/>
              </w:rPr>
              <w:t>Baker, L. A.</w:t>
            </w:r>
            <w:proofErr w:type="gramStart"/>
            <w:r>
              <w:t>,</w:t>
            </w:r>
            <w:r>
              <w:rPr>
                <w:rStyle w:val="apple-converted-space"/>
              </w:rPr>
              <w:t>  </w:t>
            </w:r>
            <w:r>
              <w:rPr>
                <w:rStyle w:val="author"/>
              </w:rPr>
              <w:t>O'Sullivan</w:t>
            </w:r>
            <w:proofErr w:type="gramEnd"/>
            <w:r>
              <w:rPr>
                <w:rStyle w:val="author"/>
              </w:rPr>
              <w:t>, T. F.</w:t>
            </w:r>
            <w:r>
              <w:t>,</w:t>
            </w:r>
            <w:r>
              <w:rPr>
                <w:rStyle w:val="apple-converted-space"/>
              </w:rPr>
              <w:t>  </w:t>
            </w:r>
            <w:r>
              <w:rPr>
                <w:rStyle w:val="author"/>
              </w:rPr>
              <w:t>Robinson, K. A.</w:t>
            </w:r>
            <w:r>
              <w:t>,</w:t>
            </w:r>
            <w:r>
              <w:rPr>
                <w:rStyle w:val="apple-converted-space"/>
              </w:rPr>
              <w:t>  </w:t>
            </w:r>
            <w:r>
              <w:rPr>
                <w:rStyle w:val="author"/>
              </w:rPr>
              <w:t>Graham-Brown, M. P. M.</w:t>
            </w:r>
            <w:r>
              <w:t>,</w:t>
            </w:r>
            <w:r>
              <w:rPr>
                <w:rStyle w:val="apple-converted-space"/>
              </w:rPr>
              <w:t>  </w:t>
            </w:r>
            <w:r>
              <w:rPr>
                <w:rStyle w:val="author"/>
              </w:rPr>
              <w:t>Major, R. W.</w:t>
            </w:r>
            <w:r>
              <w:t>,</w:t>
            </w:r>
            <w:r>
              <w:rPr>
                <w:rStyle w:val="apple-converted-space"/>
              </w:rPr>
              <w:t>  </w:t>
            </w:r>
            <w:r>
              <w:rPr>
                <w:rStyle w:val="author"/>
              </w:rPr>
              <w:t>Ashford, R. U.</w:t>
            </w:r>
            <w:r>
              <w:t>,</w:t>
            </w:r>
            <w:r>
              <w:rPr>
                <w:rStyle w:val="apple-converted-space"/>
              </w:rPr>
              <w:t>  </w:t>
            </w:r>
            <w:r>
              <w:rPr>
                <w:rStyle w:val="author"/>
              </w:rPr>
              <w:t>Smith, A. C.</w:t>
            </w:r>
            <w:r>
              <w:t>,</w:t>
            </w:r>
            <w:r>
              <w:rPr>
                <w:rStyle w:val="apple-converted-space"/>
              </w:rPr>
              <w:t>  </w:t>
            </w:r>
            <w:r>
              <w:rPr>
                <w:rStyle w:val="author"/>
              </w:rPr>
              <w:t>Philp, A.</w:t>
            </w:r>
            <w:r>
              <w:t>, and</w:t>
            </w:r>
            <w:r>
              <w:rPr>
                <w:rStyle w:val="apple-converted-space"/>
              </w:rPr>
              <w:t>  </w:t>
            </w:r>
            <w:r>
              <w:rPr>
                <w:rStyle w:val="author"/>
              </w:rPr>
              <w:t>Watson, E. L.</w:t>
            </w:r>
            <w:r>
              <w:rPr>
                <w:rStyle w:val="apple-converted-space"/>
              </w:rPr>
              <w:t> </w:t>
            </w:r>
            <w:r>
              <w:t>(</w:t>
            </w:r>
            <w:r>
              <w:rPr>
                <w:rStyle w:val="pubyear"/>
              </w:rPr>
              <w:t>2022</w:t>
            </w:r>
            <w:r>
              <w:t>)</w:t>
            </w:r>
            <w:r>
              <w:rPr>
                <w:rStyle w:val="apple-converted-space"/>
              </w:rPr>
              <w:t>  </w:t>
            </w:r>
            <w:r>
              <w:rPr>
                <w:rStyle w:val="articletitle"/>
              </w:rPr>
              <w:t xml:space="preserve">Primary skeletal muscle cells from chronic </w:t>
            </w:r>
            <w:r>
              <w:rPr>
                <w:rStyle w:val="articletitle"/>
              </w:rPr>
              <w:lastRenderedPageBreak/>
              <w:t>kidney disease patients retain hallmarks of cachexia</w:t>
            </w:r>
            <w:r>
              <w:rPr>
                <w:rStyle w:val="apple-converted-space"/>
              </w:rPr>
              <w:t> </w:t>
            </w:r>
            <w:r>
              <w:rPr>
                <w:rStyle w:val="articletitle"/>
                <w:i/>
                <w:iCs/>
              </w:rPr>
              <w:t>in vitro</w:t>
            </w:r>
            <w:r>
              <w:t>,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Journal of Cachexia, Sarcopenia and Muscle</w:t>
            </w:r>
            <w:r>
              <w:t>,</w:t>
            </w:r>
            <w:r>
              <w:rPr>
                <w:rStyle w:val="apple-converted-space"/>
              </w:rPr>
              <w:t>  </w:t>
            </w:r>
            <w:r>
              <w:rPr>
                <w:rStyle w:val="vol"/>
              </w:rPr>
              <w:t>13</w:t>
            </w:r>
            <w:r>
              <w:t>,</w:t>
            </w:r>
            <w:r>
              <w:rPr>
                <w:rStyle w:val="apple-converted-space"/>
              </w:rPr>
              <w:t>  </w:t>
            </w:r>
            <w:r>
              <w:rPr>
                <w:rStyle w:val="pagefirst"/>
              </w:rPr>
              <w:t>1238</w:t>
            </w:r>
            <w:r>
              <w:t>–</w:t>
            </w:r>
            <w:r>
              <w:rPr>
                <w:rStyle w:val="apple-converted-space"/>
              </w:rPr>
              <w:t> </w:t>
            </w:r>
            <w:r>
              <w:rPr>
                <w:rStyle w:val="pagelast"/>
              </w:rPr>
              <w:t>1249</w:t>
            </w:r>
            <w:r>
              <w:t>,</w:t>
            </w:r>
            <w:r>
              <w:rPr>
                <w:rStyle w:val="apple-converted-space"/>
              </w:rPr>
              <w:t> </w:t>
            </w:r>
            <w:hyperlink r:id="rId7" w:history="1">
              <w:r>
                <w:rPr>
                  <w:rStyle w:val="Hyperlink"/>
                  <w:color w:val="005274"/>
                </w:rPr>
                <w:t>https://doi.org/10.1002/jcsm.12802</w:t>
              </w:r>
            </w:hyperlink>
            <w:r>
              <w:t>.</w:t>
            </w:r>
          </w:p>
        </w:tc>
      </w:tr>
    </w:tbl>
    <w:p w14:paraId="22F9C382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62CE29D1" w14:textId="77777777" w:rsidR="00066C81" w:rsidRDefault="00066C81" w:rsidP="00066C81">
      <w:pPr>
        <w:spacing w:after="0" w:line="240" w:lineRule="auto"/>
      </w:pPr>
    </w:p>
    <w:p w14:paraId="1A271DBB" w14:textId="77777777" w:rsidR="00BB70D0" w:rsidRDefault="00BB70D0"/>
    <w:sectPr w:rsidR="00BB70D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81"/>
    <w:rsid w:val="00066C81"/>
    <w:rsid w:val="00141A70"/>
    <w:rsid w:val="00736CE8"/>
    <w:rsid w:val="007F1948"/>
    <w:rsid w:val="00A84365"/>
    <w:rsid w:val="00BB70D0"/>
    <w:rsid w:val="00BC315D"/>
    <w:rsid w:val="00C764B2"/>
    <w:rsid w:val="00C9178A"/>
    <w:rsid w:val="00CA1EA6"/>
    <w:rsid w:val="1639D31F"/>
    <w:rsid w:val="28ACC798"/>
    <w:rsid w:val="383149BB"/>
    <w:rsid w:val="53340E4B"/>
    <w:rsid w:val="7C5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F9DA"/>
  <w15:chartTrackingRefBased/>
  <w15:docId w15:val="{87EC11FF-9B23-4746-AD2B-2639FE3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36CE8"/>
  </w:style>
  <w:style w:type="character" w:customStyle="1" w:styleId="contentcontrolboundarysink">
    <w:name w:val="contentcontrolboundarysink"/>
    <w:basedOn w:val="DefaultParagraphFont"/>
    <w:rsid w:val="00736CE8"/>
  </w:style>
  <w:style w:type="paragraph" w:customStyle="1" w:styleId="paragraph">
    <w:name w:val="paragraph"/>
    <w:basedOn w:val="Normal"/>
    <w:rsid w:val="0073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736CE8"/>
  </w:style>
  <w:style w:type="character" w:customStyle="1" w:styleId="apple-converted-space">
    <w:name w:val="apple-converted-space"/>
    <w:basedOn w:val="DefaultParagraphFont"/>
    <w:rsid w:val="00141A70"/>
  </w:style>
  <w:style w:type="character" w:customStyle="1" w:styleId="author">
    <w:name w:val="author"/>
    <w:basedOn w:val="DefaultParagraphFont"/>
    <w:rsid w:val="00141A70"/>
  </w:style>
  <w:style w:type="character" w:customStyle="1" w:styleId="pubyear">
    <w:name w:val="pubyear"/>
    <w:basedOn w:val="DefaultParagraphFont"/>
    <w:rsid w:val="00141A70"/>
  </w:style>
  <w:style w:type="character" w:customStyle="1" w:styleId="articletitle">
    <w:name w:val="articletitle"/>
    <w:basedOn w:val="DefaultParagraphFont"/>
    <w:rsid w:val="00141A70"/>
  </w:style>
  <w:style w:type="character" w:customStyle="1" w:styleId="vol">
    <w:name w:val="vol"/>
    <w:basedOn w:val="DefaultParagraphFont"/>
    <w:rsid w:val="00141A70"/>
  </w:style>
  <w:style w:type="character" w:customStyle="1" w:styleId="pagefirst">
    <w:name w:val="pagefirst"/>
    <w:basedOn w:val="DefaultParagraphFont"/>
    <w:rsid w:val="00141A70"/>
  </w:style>
  <w:style w:type="character" w:customStyle="1" w:styleId="pagelast">
    <w:name w:val="pagelast"/>
    <w:basedOn w:val="DefaultParagraphFont"/>
    <w:rsid w:val="00141A70"/>
  </w:style>
  <w:style w:type="character" w:styleId="Hyperlink">
    <w:name w:val="Hyperlink"/>
    <w:basedOn w:val="DefaultParagraphFont"/>
    <w:uiPriority w:val="99"/>
    <w:semiHidden/>
    <w:unhideWhenUsed/>
    <w:rsid w:val="00141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86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01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002/jcsm.1280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2" ma:contentTypeDescription="Create a new document." ma:contentTypeScope="" ma:versionID="19eea4466c83e97bee1d2662b2350947">
  <xsd:schema xmlns:xsd="http://www.w3.org/2001/XMLSchema" xmlns:xs="http://www.w3.org/2001/XMLSchema" xmlns:p="http://schemas.microsoft.com/office/2006/metadata/properties" xmlns:ns2="b42c51a1-7bb1-470c-96c1-d1b7d2ec83d0" targetNamespace="http://schemas.microsoft.com/office/2006/metadata/properties" ma:root="true" ma:fieldsID="5c10ec5cbab0982efd95bb8c8ab5e692" ns2:_="">
    <xsd:import namespace="b42c51a1-7bb1-470c-96c1-d1b7d2ec8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36674-970E-44C3-BC37-97588EBAD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67D7C-95E9-4712-93AA-BB106A2B9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5E1AD-8523-40BA-9E15-92EB6E83C0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3084</Characters>
  <Application>Microsoft Office Word</Application>
  <DocSecurity>0</DocSecurity>
  <Lines>25</Lines>
  <Paragraphs>7</Paragraphs>
  <ScaleCrop>false</ScaleCrop>
  <Company>University of Leicester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5</cp:revision>
  <dcterms:created xsi:type="dcterms:W3CDTF">2023-03-08T14:12:00Z</dcterms:created>
  <dcterms:modified xsi:type="dcterms:W3CDTF">2023-03-14T11:51:00Z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