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5A4E" w14:textId="30CC16CB" w:rsidR="00066C81" w:rsidRPr="00173AAD" w:rsidRDefault="00173AAD" w:rsidP="00066C81">
      <w:pPr>
        <w:spacing w:after="0" w:line="240" w:lineRule="auto"/>
        <w:rPr>
          <w:b/>
          <w:bCs/>
        </w:rPr>
      </w:pPr>
      <w:r w:rsidRPr="00173AAD">
        <w:rPr>
          <w:b/>
          <w:bCs/>
        </w:rPr>
        <w:t>University of Leicester</w:t>
      </w:r>
    </w:p>
    <w:p w14:paraId="209327DD" w14:textId="77777777" w:rsidR="00173AAD" w:rsidRDefault="00173AAD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58D64656" w14:textId="77777777" w:rsidTr="2625CB4B">
        <w:tc>
          <w:tcPr>
            <w:tcW w:w="3227" w:type="dxa"/>
            <w:shd w:val="clear" w:color="auto" w:fill="F2F2F2" w:themeFill="background1" w:themeFillShade="F2"/>
          </w:tcPr>
          <w:p w14:paraId="141A465E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4F0A4A6E" w14:textId="52A4F881" w:rsidR="00066C81" w:rsidRPr="00066C81" w:rsidRDefault="00A84365" w:rsidP="00066C81">
            <w:r>
              <w:t>BRC</w:t>
            </w:r>
            <w:r w:rsidR="0788387A">
              <w:t xml:space="preserve"> Studentships</w:t>
            </w:r>
          </w:p>
        </w:tc>
      </w:tr>
    </w:tbl>
    <w:p w14:paraId="2F552C0E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75AE8DCB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7187F49E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07C041F2" w14:textId="45ACFF91" w:rsidR="00066C81" w:rsidRPr="00066C81" w:rsidRDefault="00BD0CB4" w:rsidP="00066C81"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 xml:space="preserve">​Dr </w:t>
            </w:r>
            <w:r>
              <w:rPr>
                <w:rStyle w:val="normaltextrun"/>
                <w:sz w:val="21"/>
                <w:szCs w:val="21"/>
                <w:shd w:val="clear" w:color="auto" w:fill="FFFFFF"/>
              </w:rPr>
              <w:t>Ranjit Arnold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</w:p>
        </w:tc>
      </w:tr>
      <w:tr w:rsidR="00066C81" w:rsidRPr="00066C81" w14:paraId="62BA6F73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44829D61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61DC7D29" w14:textId="675B558E" w:rsidR="00066C81" w:rsidRPr="00066C81" w:rsidRDefault="00BD0CB4" w:rsidP="00066C81"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  <w:r>
              <w:rPr>
                <w:rStyle w:val="normaltextrun"/>
                <w:sz w:val="21"/>
                <w:szCs w:val="21"/>
                <w:bdr w:val="none" w:sz="0" w:space="0" w:color="auto" w:frame="1"/>
                <w:lang w:val="en-US"/>
              </w:rPr>
              <w:t>Cardiovascular Sciences</w:t>
            </w:r>
          </w:p>
        </w:tc>
      </w:tr>
      <w:tr w:rsidR="00A84365" w:rsidRPr="00066C81" w14:paraId="0708F96B" w14:textId="77777777" w:rsidTr="004955D3">
        <w:tc>
          <w:tcPr>
            <w:tcW w:w="3227" w:type="dxa"/>
            <w:shd w:val="clear" w:color="auto" w:fill="F2F2F2" w:themeFill="background1" w:themeFillShade="F2"/>
          </w:tcPr>
          <w:p w14:paraId="25527BA6" w14:textId="77777777" w:rsidR="00A84365" w:rsidRPr="00066C81" w:rsidRDefault="00A84365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5A764A30" w14:textId="057144AA" w:rsidR="00A84365" w:rsidRPr="00066C81" w:rsidRDefault="00173AAD" w:rsidP="00066C81">
            <w:hyperlink r:id="rId8" w:history="1">
              <w:r w:rsidRPr="00DD76ED">
                <w:rPr>
                  <w:rStyle w:val="Hyperlink"/>
                  <w:sz w:val="21"/>
                  <w:szCs w:val="21"/>
                  <w:shd w:val="clear" w:color="auto" w:fill="FFFFFF"/>
                </w:rPr>
                <w:t>jra14@le.ac.uk</w:t>
              </w:r>
            </w:hyperlink>
            <w:r>
              <w:rPr>
                <w:rStyle w:val="normaltextrun"/>
                <w:sz w:val="21"/>
                <w:szCs w:val="21"/>
                <w:shd w:val="clear" w:color="auto" w:fill="FFFFFF"/>
              </w:rPr>
              <w:t xml:space="preserve"> </w:t>
            </w:r>
            <w:r w:rsidR="00BD0CB4"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</w:p>
        </w:tc>
      </w:tr>
    </w:tbl>
    <w:p w14:paraId="7E553983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1C40C050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268C46E9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6E8916E8" w14:textId="68EA07B8" w:rsidR="00066C81" w:rsidRDefault="00BD0CB4" w:rsidP="00ED69E6">
            <w:r>
              <w:rPr>
                <w:rStyle w:val="normaltextrun"/>
                <w:sz w:val="21"/>
                <w:szCs w:val="21"/>
                <w:bdr w:val="none" w:sz="0" w:space="0" w:color="auto" w:frame="1"/>
              </w:rPr>
              <w:t>Prof Sally Singh</w:t>
            </w:r>
          </w:p>
        </w:tc>
      </w:tr>
      <w:tr w:rsidR="00066C81" w14:paraId="147DA61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B1E849E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5CD28D25" w14:textId="152E2EBB" w:rsidR="00066C81" w:rsidRDefault="00BD0CB4" w:rsidP="00ED69E6">
            <w:r w:rsidRPr="00BD0CB4">
              <w:t>Respiratory Sciences</w:t>
            </w:r>
          </w:p>
        </w:tc>
      </w:tr>
      <w:tr w:rsidR="00A84365" w14:paraId="5C5F8BEE" w14:textId="77777777" w:rsidTr="000E23E5">
        <w:tc>
          <w:tcPr>
            <w:tcW w:w="3256" w:type="dxa"/>
            <w:shd w:val="clear" w:color="auto" w:fill="F2F2F2" w:themeFill="background1" w:themeFillShade="F2"/>
          </w:tcPr>
          <w:p w14:paraId="3358F461" w14:textId="77777777" w:rsidR="00A84365" w:rsidRDefault="00A84365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43E8FDDB" w14:textId="48375DE0" w:rsidR="00A84365" w:rsidRDefault="00173AAD" w:rsidP="00ED69E6">
            <w:hyperlink r:id="rId9" w:history="1">
              <w:r w:rsidRPr="00DD76ED">
                <w:rPr>
                  <w:rStyle w:val="Hyperlink"/>
                  <w:sz w:val="21"/>
                  <w:szCs w:val="21"/>
                  <w:shd w:val="clear" w:color="auto" w:fill="FFFFFF"/>
                </w:rPr>
                <w:t>Sally.singh@uhl-tr.nhs.uk</w:t>
              </w:r>
            </w:hyperlink>
            <w:r>
              <w:rPr>
                <w:rStyle w:val="normaltextrun"/>
                <w:sz w:val="21"/>
                <w:szCs w:val="21"/>
                <w:shd w:val="clear" w:color="auto" w:fill="FFFFFF"/>
              </w:rPr>
              <w:t xml:space="preserve"> </w:t>
            </w:r>
            <w:r w:rsidR="00CC180A"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  <w:r w:rsidR="00CC180A">
              <w:rPr>
                <w:rStyle w:val="eop"/>
                <w:color w:val="80808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58880D57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61D26F59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674A150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735D6AAD" w14:textId="32088FA2" w:rsidR="00066C81" w:rsidRDefault="00BD0CB4" w:rsidP="00ED69E6">
            <w:r>
              <w:rPr>
                <w:rStyle w:val="normaltextrun"/>
                <w:sz w:val="21"/>
                <w:szCs w:val="21"/>
                <w:shd w:val="clear" w:color="auto" w:fill="FFFFFF"/>
              </w:rPr>
              <w:t xml:space="preserve">Prof Jon </w:t>
            </w:r>
            <w:proofErr w:type="spellStart"/>
            <w:proofErr w:type="gramStart"/>
            <w:r>
              <w:rPr>
                <w:rStyle w:val="normaltextrun"/>
                <w:sz w:val="21"/>
                <w:szCs w:val="21"/>
                <w:shd w:val="clear" w:color="auto" w:fill="FFFFFF"/>
              </w:rPr>
              <w:t>Arcelus</w:t>
            </w:r>
            <w:proofErr w:type="spellEnd"/>
            <w:r w:rsidR="00173AAD">
              <w:rPr>
                <w:rStyle w:val="contentcontrolboundarysink"/>
              </w:rPr>
              <w:t xml:space="preserve"> 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 xml:space="preserve"> (</w:t>
            </w:r>
            <w:proofErr w:type="gramEnd"/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external)</w:t>
            </w:r>
          </w:p>
        </w:tc>
      </w:tr>
    </w:tbl>
    <w:p w14:paraId="610696F3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54D9DE83" w14:textId="77777777" w:rsidR="00066C81" w:rsidRPr="006B05B2" w:rsidRDefault="00066C81" w:rsidP="00066C8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066C81" w14:paraId="7614B409" w14:textId="77777777" w:rsidTr="00ED69E6">
        <w:tc>
          <w:tcPr>
            <w:tcW w:w="1980" w:type="dxa"/>
            <w:shd w:val="clear" w:color="auto" w:fill="F2F2F2" w:themeFill="background1" w:themeFillShade="F2"/>
          </w:tcPr>
          <w:p w14:paraId="453A398E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65BEE0FD" w14:textId="77777777" w:rsidR="00066C81" w:rsidRPr="00B11D52" w:rsidRDefault="00066C81" w:rsidP="00ED69E6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66CA3308" w14:textId="77EBA61B" w:rsidR="00066C81" w:rsidRDefault="00BD0CB4" w:rsidP="00ED69E6">
            <w:r>
              <w:rPr>
                <w:rStyle w:val="normaltextrun"/>
                <w:shd w:val="clear" w:color="auto" w:fill="FFFFFF"/>
                <w:lang w:val="en-US"/>
              </w:rPr>
              <w:t>Establishing normative ranges for cardiopulmonary function in transgender people: a pilot, feasibility study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</w:p>
        </w:tc>
      </w:tr>
      <w:tr w:rsidR="00066C81" w14:paraId="2503C890" w14:textId="77777777" w:rsidTr="00ED69E6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34BC052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C1DD7CA" w14:textId="77777777" w:rsidR="00066C81" w:rsidRDefault="00066C81" w:rsidP="00ED69E6">
            <w:r>
              <w:t>1.</w:t>
            </w:r>
          </w:p>
        </w:tc>
        <w:tc>
          <w:tcPr>
            <w:tcW w:w="6611" w:type="dxa"/>
          </w:tcPr>
          <w:p w14:paraId="7FEC3D97" w14:textId="55CE1E58" w:rsidR="00066C81" w:rsidRDefault="00BA3739" w:rsidP="00ED69E6">
            <w:r>
              <w:t xml:space="preserve">The use of </w:t>
            </w:r>
            <w:proofErr w:type="gramStart"/>
            <w:r>
              <w:t>c</w:t>
            </w:r>
            <w:r w:rsidRPr="00A25CB5">
              <w:t>utting edge</w:t>
            </w:r>
            <w:proofErr w:type="gramEnd"/>
            <w:r w:rsidRPr="00A25CB5">
              <w:t xml:space="preserve"> imaging with cardiac MRI and cardiopulmonary exercise t</w:t>
            </w:r>
            <w:r w:rsidR="0033407B">
              <w:t>esting</w:t>
            </w:r>
          </w:p>
        </w:tc>
      </w:tr>
      <w:tr w:rsidR="00066C81" w14:paraId="0ED3CAC5" w14:textId="77777777" w:rsidTr="00ED69E6">
        <w:tc>
          <w:tcPr>
            <w:tcW w:w="1980" w:type="dxa"/>
            <w:vMerge/>
            <w:shd w:val="clear" w:color="auto" w:fill="F2F2F2" w:themeFill="background1" w:themeFillShade="F2"/>
          </w:tcPr>
          <w:p w14:paraId="1D31F5C9" w14:textId="77777777" w:rsidR="00066C81" w:rsidRDefault="00066C81" w:rsidP="00ED69E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0AEDFB6" w14:textId="77777777" w:rsidR="00066C81" w:rsidRDefault="00066C81" w:rsidP="00ED69E6">
            <w:r>
              <w:t>2.</w:t>
            </w:r>
          </w:p>
        </w:tc>
        <w:tc>
          <w:tcPr>
            <w:tcW w:w="6611" w:type="dxa"/>
          </w:tcPr>
          <w:p w14:paraId="6FC90BBA" w14:textId="15046C76" w:rsidR="00066C81" w:rsidRDefault="00BA3739" w:rsidP="00ED69E6">
            <w:r>
              <w:t>A unique collaboration between Cardiovascular Sciences, Lifestyle and Psychiatry.</w:t>
            </w:r>
          </w:p>
        </w:tc>
      </w:tr>
      <w:tr w:rsidR="00066C81" w14:paraId="5BF3F8A4" w14:textId="77777777" w:rsidTr="00ED69E6">
        <w:tc>
          <w:tcPr>
            <w:tcW w:w="1980" w:type="dxa"/>
            <w:vMerge/>
            <w:shd w:val="clear" w:color="auto" w:fill="F2F2F2" w:themeFill="background1" w:themeFillShade="F2"/>
          </w:tcPr>
          <w:p w14:paraId="6E16A621" w14:textId="77777777" w:rsidR="00066C81" w:rsidRDefault="00066C81" w:rsidP="00ED69E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5F03386" w14:textId="77777777" w:rsidR="00066C81" w:rsidRDefault="00066C81" w:rsidP="00ED69E6">
            <w:r>
              <w:t>3.</w:t>
            </w:r>
          </w:p>
        </w:tc>
        <w:tc>
          <w:tcPr>
            <w:tcW w:w="6611" w:type="dxa"/>
          </w:tcPr>
          <w:p w14:paraId="1AF59F7B" w14:textId="4B796C48" w:rsidR="00066C81" w:rsidRDefault="00BA3739" w:rsidP="00ED69E6">
            <w:r>
              <w:rPr>
                <w:rFonts w:cstheme="minorHAnsi"/>
                <w:lang w:val="en-US"/>
              </w:rPr>
              <w:t>Th</w:t>
            </w:r>
            <w:r>
              <w:rPr>
                <w:rFonts w:cstheme="minorHAnsi"/>
              </w:rPr>
              <w:t xml:space="preserve">is project </w:t>
            </w:r>
            <w:r w:rsidR="0082301B">
              <w:rPr>
                <w:rFonts w:cstheme="minorHAnsi"/>
              </w:rPr>
              <w:t xml:space="preserve">will promote </w:t>
            </w:r>
            <w:r w:rsidR="0082301B" w:rsidRPr="00922A6A">
              <w:rPr>
                <w:rFonts w:cstheme="minorHAnsi"/>
              </w:rPr>
              <w:t>disease prevention, diagnosis and management in an underserved and marginalised group in society</w:t>
            </w:r>
            <w:r w:rsidR="0082301B">
              <w:rPr>
                <w:rFonts w:cstheme="minorHAnsi"/>
              </w:rPr>
              <w:t>.</w:t>
            </w:r>
          </w:p>
        </w:tc>
      </w:tr>
      <w:tr w:rsidR="00066C81" w14:paraId="5E9D4AA3" w14:textId="77777777" w:rsidTr="00ED69E6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99685F1" w14:textId="77777777" w:rsidR="00066C81" w:rsidRDefault="00066C81" w:rsidP="00066C81">
            <w:r>
              <w:rPr>
                <w:b/>
              </w:rPr>
              <w:t xml:space="preserve">Project Summary </w:t>
            </w:r>
          </w:p>
        </w:tc>
      </w:tr>
      <w:tr w:rsidR="00066C81" w14:paraId="45B09966" w14:textId="77777777" w:rsidTr="00ED69E6">
        <w:tc>
          <w:tcPr>
            <w:tcW w:w="9016" w:type="dxa"/>
            <w:gridSpan w:val="3"/>
          </w:tcPr>
          <w:p w14:paraId="504025D2" w14:textId="79C19774" w:rsidR="00BD0CB4" w:rsidRDefault="00BD0CB4" w:rsidP="00BD0C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BD0CB4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Background</w:t>
            </w:r>
            <w:r w:rsidRPr="00BD0CB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Quantitative evaluation of cardiac volume</w:t>
            </w:r>
            <w:r w:rsidR="00BA373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and function is critical for identifying </w:t>
            </w:r>
            <w:r w:rsidR="00BA373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disease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states. Central to this is establishing appropriate reference ranges</w:t>
            </w:r>
            <w:r w:rsidR="00BA373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to </w:t>
            </w:r>
            <w:r w:rsidRPr="00BD0CB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permit differentiation between normal and pathological states.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Accordingly, age and sex-specific reference values have been established using cardiovascular magnetic resonanc</w:t>
            </w:r>
            <w:r w:rsidR="00BA373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 imaging (MRI),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the gold standard non-invasive imaging modality for characterising cardiac morphology and function. In the England and Wales 2021 census, 262 000 people (0.5%) identified as transgender. To date, there are no published studies evaluating cardiac volume</w:t>
            </w:r>
            <w:r w:rsidR="00BA373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and cardiopulmonary function in </w:t>
            </w:r>
            <w:r w:rsidR="00BA373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people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undergoing cross-gender hormone treatment. In order to distinguish health from pathological states, it is </w:t>
            </w:r>
            <w:r w:rsidR="0033407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vital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to establish appropriate reference ranges, and also to determine the impact of cross-gender hormone treatment on </w:t>
            </w:r>
            <w:r w:rsidR="00BA373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cardiac volumes and function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1B7F501B" w14:textId="77777777" w:rsidR="00173AAD" w:rsidRDefault="00173AAD" w:rsidP="00BD0C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2D25B42" w14:textId="486D1304" w:rsidR="00BA3739" w:rsidRDefault="00BD0CB4" w:rsidP="00BD0C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A373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Research Plan:</w:t>
            </w:r>
          </w:p>
          <w:p w14:paraId="323C5DE2" w14:textId="12DC2F42" w:rsidR="00BA3739" w:rsidRDefault="00BD0CB4" w:rsidP="00BD0CB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  <w:r w:rsidR="003340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BA3739" w:rsidRP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cross-sect</w:t>
            </w:r>
            <w:r w:rsid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ional study involving 50 people </w:t>
            </w:r>
            <w:r w:rsidR="00BA3739" w:rsidRP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on cross-gender hormone treatment</w:t>
            </w:r>
            <w:r w:rsid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, involving detailed character</w:t>
            </w:r>
            <w:r w:rsidR="003340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sation of cardiopulmonary function</w:t>
            </w:r>
          </w:p>
          <w:p w14:paraId="2DACCD26" w14:textId="77777777" w:rsidR="0033407B" w:rsidRDefault="00BA3739" w:rsidP="00BD0CB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The s</w:t>
            </w:r>
            <w:r w:rsidR="00BD0CB4" w:rsidRP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tudy population</w:t>
            </w:r>
            <w:r w:rsidRP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will comprise </w:t>
            </w:r>
            <w:r w:rsidR="00BD0CB4" w:rsidRP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50 adults (aged ≥18 years; 25 </w:t>
            </w:r>
            <w:proofErr w:type="spellStart"/>
            <w:r w:rsidR="00BD0CB4" w:rsidRP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transfemale</w:t>
            </w:r>
            <w:proofErr w:type="spellEnd"/>
            <w:r w:rsidR="00BD0CB4" w:rsidRP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25 </w:t>
            </w:r>
            <w:proofErr w:type="spellStart"/>
            <w:r w:rsidR="00BD0CB4" w:rsidRP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transmale</w:t>
            </w:r>
            <w:proofErr w:type="spellEnd"/>
            <w:r w:rsidR="00BD0CB4" w:rsidRP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) who have been on cross-gender hormone treatment for ≥ 2years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BD0CB4" w:rsidRPr="00BA373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recruited from the community and from the Nottingham Centre for Transgender Health network (the largest national network in Europe for the care of transgender</w:t>
            </w:r>
            <w:r w:rsidR="00BD0CB4" w:rsidRPr="00BA373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people. </w:t>
            </w:r>
          </w:p>
          <w:p w14:paraId="596C283A" w14:textId="0AFF1350" w:rsidR="00045D22" w:rsidRPr="0033407B" w:rsidRDefault="0033407B" w:rsidP="00B0717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Study a</w:t>
            </w:r>
            <w:r w:rsidR="00BD0CB4" w:rsidRPr="0033407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ssessments</w:t>
            </w:r>
            <w:r w:rsidRPr="0033407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will </w:t>
            </w:r>
            <w:r w:rsidR="00045D22" w:rsidRPr="0033407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involve (but will not be limited to) the following assessments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5DF3AF5A" w14:textId="66E05F86" w:rsidR="00045D22" w:rsidRDefault="00BA3739" w:rsidP="0033407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firstLine="143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High field-strength </w:t>
            </w:r>
            <w:r w:rsidR="0082301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MRI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assessment </w:t>
            </w:r>
            <w:r w:rsidR="0082301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of the heart</w:t>
            </w:r>
            <w:r w:rsidR="00BD0CB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6FFC771" w14:textId="77777777" w:rsidR="00045D22" w:rsidRDefault="00BD0CB4" w:rsidP="0033407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firstLine="143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Cardiopulmonary exercise testing</w:t>
            </w:r>
          </w:p>
          <w:p w14:paraId="00C6B2C3" w14:textId="77777777" w:rsidR="00045D22" w:rsidRDefault="00045D22" w:rsidP="0033407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firstLine="143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BD0CB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pirometry </w:t>
            </w:r>
          </w:p>
          <w:p w14:paraId="1CFDF57E" w14:textId="77777777" w:rsidR="0033407B" w:rsidRDefault="00045D22" w:rsidP="0033407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firstLine="143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 w:rsidR="00BD0CB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uadriceps strength assessment</w:t>
            </w:r>
          </w:p>
          <w:p w14:paraId="0F05AA9E" w14:textId="19BA593B" w:rsidR="00BD0CB4" w:rsidRPr="0033407B" w:rsidRDefault="00BD0CB4" w:rsidP="00045D2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33407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Additionally, a qualitative assessment will be undertaken to explore potential barriers to research participatio</w:t>
            </w:r>
            <w:r w:rsidR="00045D22" w:rsidRPr="0033407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33407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28043D4E" w14:textId="0C3BEA30" w:rsidR="00066C81" w:rsidRDefault="00BD0CB4" w:rsidP="0082301B">
            <w:pPr>
              <w:pStyle w:val="paragraph"/>
              <w:spacing w:before="0" w:beforeAutospacing="0" w:after="0" w:afterAutospacing="0"/>
              <w:ind w:right="-60"/>
              <w:textAlignment w:val="baseline"/>
              <w:rPr>
                <w:b/>
              </w:rPr>
            </w:pPr>
            <w:r w:rsidRPr="00045D22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Expected outcomes and impact:</w:t>
            </w:r>
            <w:r w:rsidRPr="00BD0CB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D0CB4">
              <w:rPr>
                <w:rStyle w:val="normaltextrun"/>
                <w:color w:val="000000"/>
                <w:sz w:val="22"/>
                <w:szCs w:val="22"/>
              </w:rPr>
              <w:t>​</w:t>
            </w:r>
            <w:r w:rsidRPr="00BD0CB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The proposed pilot study will test the feasibility of recruitment from the transgender community</w:t>
            </w:r>
            <w:r w:rsidR="00045D2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BD0CB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and identify potential barriers to research participation. These findings will inform the design of a larger, definitive multi-centre cross-sectional study with a view to determining normative ranges in this population.  </w:t>
            </w:r>
          </w:p>
        </w:tc>
      </w:tr>
    </w:tbl>
    <w:p w14:paraId="1A271DBB" w14:textId="77777777" w:rsidR="00BB70D0" w:rsidRDefault="00BB70D0" w:rsidP="0082301B"/>
    <w:sectPr w:rsidR="00BB70D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A68"/>
    <w:multiLevelType w:val="hybridMultilevel"/>
    <w:tmpl w:val="052226AA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155E6AC7"/>
    <w:multiLevelType w:val="hybridMultilevel"/>
    <w:tmpl w:val="4CE2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2619"/>
    <w:multiLevelType w:val="hybridMultilevel"/>
    <w:tmpl w:val="F1AE2DD2"/>
    <w:lvl w:ilvl="0" w:tplc="C78A9FE4">
      <w:start w:val="1"/>
      <w:numFmt w:val="bullet"/>
      <w:lvlText w:val="-"/>
      <w:lvlJc w:val="left"/>
      <w:pPr>
        <w:ind w:left="742" w:hanging="360"/>
      </w:pPr>
      <w:rPr>
        <w:rFonts w:ascii="Arial" w:eastAsia="Times New Roman" w:hAnsi="Arial" w:cs="Arial" w:hint="default"/>
        <w:b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4FE13E59"/>
    <w:multiLevelType w:val="hybridMultilevel"/>
    <w:tmpl w:val="3CEA599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81"/>
    <w:rsid w:val="00045D22"/>
    <w:rsid w:val="00066C81"/>
    <w:rsid w:val="00173AAD"/>
    <w:rsid w:val="0033407B"/>
    <w:rsid w:val="0082301B"/>
    <w:rsid w:val="00A84365"/>
    <w:rsid w:val="00BA3739"/>
    <w:rsid w:val="00BB70D0"/>
    <w:rsid w:val="00BD0CB4"/>
    <w:rsid w:val="00C764B2"/>
    <w:rsid w:val="00CC180A"/>
    <w:rsid w:val="0788387A"/>
    <w:rsid w:val="2625C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F9DA"/>
  <w15:chartTrackingRefBased/>
  <w15:docId w15:val="{87EC11FF-9B23-4746-AD2B-2639FE3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controlboundarysink">
    <w:name w:val="contentcontrolboundarysink"/>
    <w:basedOn w:val="DefaultParagraphFont"/>
    <w:rsid w:val="00BD0CB4"/>
  </w:style>
  <w:style w:type="character" w:customStyle="1" w:styleId="normaltextrun">
    <w:name w:val="normaltextrun"/>
    <w:basedOn w:val="DefaultParagraphFont"/>
    <w:rsid w:val="00BD0CB4"/>
  </w:style>
  <w:style w:type="paragraph" w:customStyle="1" w:styleId="paragraph">
    <w:name w:val="paragraph"/>
    <w:basedOn w:val="Normal"/>
    <w:rsid w:val="00BD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BD0CB4"/>
  </w:style>
  <w:style w:type="character" w:styleId="Hyperlink">
    <w:name w:val="Hyperlink"/>
    <w:basedOn w:val="DefaultParagraphFont"/>
    <w:uiPriority w:val="99"/>
    <w:unhideWhenUsed/>
    <w:rsid w:val="00173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14@l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lly.singh@uhl-tr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2" ma:contentTypeDescription="Create a new document." ma:contentTypeScope="" ma:versionID="19eea4466c83e97bee1d2662b2350947">
  <xsd:schema xmlns:xsd="http://www.w3.org/2001/XMLSchema" xmlns:xs="http://www.w3.org/2001/XMLSchema" xmlns:p="http://schemas.microsoft.com/office/2006/metadata/properties" xmlns:ns2="b42c51a1-7bb1-470c-96c1-d1b7d2ec83d0" targetNamespace="http://schemas.microsoft.com/office/2006/metadata/properties" ma:root="true" ma:fieldsID="5c10ec5cbab0982efd95bb8c8ab5e692" ns2:_="">
    <xsd:import namespace="b42c51a1-7bb1-470c-96c1-d1b7d2ec8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A4B54-C53C-4D1C-9BCA-667878010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59266-E137-406D-B54C-A38FD33D1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32C01-947D-48F8-8B38-AF6E89079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4</cp:revision>
  <dcterms:created xsi:type="dcterms:W3CDTF">2023-03-09T23:37:00Z</dcterms:created>
  <dcterms:modified xsi:type="dcterms:W3CDTF">2023-03-14T11:54:00Z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