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4B" w:rsidRDefault="0062154B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7F7F7F"/>
          <w:sz w:val="52"/>
          <w:szCs w:val="52"/>
        </w:rPr>
      </w:pPr>
      <w:r>
        <w:rPr>
          <w:rFonts w:ascii="Calibri" w:hAnsi="Calibri" w:cs="Calibri"/>
          <w:color w:val="7F7F7F"/>
          <w:sz w:val="40"/>
          <w:szCs w:val="40"/>
        </w:rPr>
        <w:t>WTDTP Projects for September 2022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Reference: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T1/42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b/>
          <w:bCs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</w:rPr>
        <w:t>Multi-</w:t>
      </w:r>
      <w:proofErr w:type="spellStart"/>
      <w:r>
        <w:rPr>
          <w:rFonts w:ascii="Calibri" w:hAnsi="Calibri" w:cs="Calibri"/>
          <w:b/>
          <w:bCs/>
          <w:color w:val="404040"/>
        </w:rPr>
        <w:t>omic</w:t>
      </w:r>
      <w:proofErr w:type="spellEnd"/>
      <w:r>
        <w:rPr>
          <w:rFonts w:ascii="Calibri" w:hAnsi="Calibri" w:cs="Calibri"/>
          <w:b/>
          <w:bCs/>
          <w:color w:val="404040"/>
        </w:rPr>
        <w:t xml:space="preserve"> approaches to understand the medium and long-term effects of COVID-19 and </w:t>
      </w:r>
    </w:p>
    <w:p w:rsidR="0062154B" w:rsidRDefault="0062154B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404040"/>
        </w:rPr>
        <w:t>identify</w:t>
      </w:r>
      <w:proofErr w:type="gramEnd"/>
      <w:r>
        <w:rPr>
          <w:rFonts w:ascii="Calibri" w:hAnsi="Calibri" w:cs="Calibri"/>
          <w:b/>
          <w:bCs/>
          <w:color w:val="404040"/>
        </w:rPr>
        <w:t xml:space="preserve"> novel therapeutic opportunities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82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Theme(s):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Theme 1: Genomics for drug development &amp; </w:t>
      </w:r>
      <w:proofErr w:type="spellStart"/>
      <w:r>
        <w:rPr>
          <w:rFonts w:ascii="Calibri" w:hAnsi="Calibri" w:cs="Calibri"/>
          <w:color w:val="404040"/>
        </w:rPr>
        <w:t>pharmacogenetics</w:t>
      </w:r>
      <w:proofErr w:type="spellEnd"/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Primary Supervisor: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Prof Louise Wain (University of Leicester)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Secondary Supervisor(s):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Prof Chris </w:t>
      </w:r>
      <w:proofErr w:type="spellStart"/>
      <w:r>
        <w:rPr>
          <w:rFonts w:ascii="Calibri" w:hAnsi="Calibri" w:cs="Calibri"/>
          <w:color w:val="404040"/>
        </w:rPr>
        <w:t>Brightling</w:t>
      </w:r>
      <w:proofErr w:type="spellEnd"/>
      <w:r>
        <w:rPr>
          <w:rFonts w:ascii="Calibri" w:hAnsi="Calibri" w:cs="Calibri"/>
          <w:color w:val="404040"/>
        </w:rPr>
        <w:t xml:space="preserve"> (University of Leicester)   Dr Tim Lucas (University of Leicester)   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436" w:after="0" w:line="240" w:lineRule="auto"/>
        <w:rPr>
          <w:rFonts w:ascii="Calibri" w:hAnsi="Calibri" w:cs="Calibri"/>
          <w:color w:val="222A35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Department: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</w:rPr>
        <w:t>Health Sciences</w:t>
      </w:r>
    </w:p>
    <w:p w:rsidR="0062154B" w:rsidRDefault="0062154B" w:rsidP="00944ED9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120" w:line="240" w:lineRule="auto"/>
        <w:ind w:left="2780" w:hanging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Summary: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More than half a million people </w:t>
      </w:r>
      <w:proofErr w:type="gramStart"/>
      <w:r>
        <w:rPr>
          <w:rFonts w:ascii="Calibri" w:hAnsi="Calibri" w:cs="Calibri"/>
          <w:color w:val="404040"/>
        </w:rPr>
        <w:t>have been admitted</w:t>
      </w:r>
      <w:proofErr w:type="gramEnd"/>
      <w:r>
        <w:rPr>
          <w:rFonts w:ascii="Calibri" w:hAnsi="Calibri" w:cs="Calibri"/>
          <w:color w:val="404040"/>
        </w:rPr>
        <w:t xml:space="preserve"> to hospital with COVID-19 since the pandemic was declared in 2020. In-hospital mortality has reduced from 30% initially to less than 16% currently meaning there are more than 300 000 post-hospitalisation survivors of COVID-19 in the UK. The first large UK study of hospital survivors reported that only a third felt fully recovered 5 months after leaving hospital with a substantial persistent health</w:t>
      </w:r>
      <w:r w:rsidR="00944ED9">
        <w:rPr>
          <w:rFonts w:ascii="Calibri" w:hAnsi="Calibri" w:cs="Calibri"/>
          <w:color w:val="404040"/>
        </w:rPr>
        <w:t xml:space="preserve"> </w:t>
      </w:r>
      <w:proofErr w:type="gramStart"/>
      <w:r>
        <w:rPr>
          <w:rFonts w:ascii="Calibri" w:hAnsi="Calibri" w:cs="Calibri"/>
          <w:color w:val="404040"/>
        </w:rPr>
        <w:t>burden</w:t>
      </w:r>
      <w:proofErr w:type="gramEnd"/>
      <w:r>
        <w:rPr>
          <w:rFonts w:ascii="Calibri" w:hAnsi="Calibri" w:cs="Calibri"/>
          <w:color w:val="404040"/>
        </w:rPr>
        <w:t xml:space="preserve"> that was only weakly related to the severity of the initial illness.  </w:t>
      </w:r>
    </w:p>
    <w:p w:rsidR="0062154B" w:rsidRDefault="0062154B" w:rsidP="00944ED9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ind w:left="2780" w:hanging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This project will involve integrative multi-</w:t>
      </w:r>
      <w:proofErr w:type="spellStart"/>
      <w:r>
        <w:rPr>
          <w:rFonts w:ascii="Calibri" w:hAnsi="Calibri" w:cs="Calibri"/>
          <w:color w:val="404040"/>
        </w:rPr>
        <w:t>omic</w:t>
      </w:r>
      <w:proofErr w:type="spellEnd"/>
      <w:r>
        <w:rPr>
          <w:rFonts w:ascii="Calibri" w:hAnsi="Calibri" w:cs="Calibri"/>
          <w:color w:val="404040"/>
        </w:rPr>
        <w:t xml:space="preserve"> data analyses, including </w:t>
      </w:r>
      <w:proofErr w:type="gramStart"/>
      <w:r>
        <w:rPr>
          <w:rFonts w:ascii="Calibri" w:hAnsi="Calibri" w:cs="Calibri"/>
          <w:color w:val="404040"/>
        </w:rPr>
        <w:t>machine-learning</w:t>
      </w:r>
      <w:proofErr w:type="gramEnd"/>
      <w:r>
        <w:rPr>
          <w:rFonts w:ascii="Calibri" w:hAnsi="Calibri" w:cs="Calibri"/>
          <w:color w:val="40404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to generate new insights into the mechanisms that underlie ‘long-COVID’ and other after-effects of COVID-19 in order to identify potential new treatments. We have collected longitudinal clinical data and research samples for over 2500 post-hospitalisation survivors of COVID-19 from across the UK. We are generating genomic, proteomic and </w:t>
      </w:r>
      <w:proofErr w:type="spellStart"/>
      <w:r>
        <w:rPr>
          <w:rFonts w:ascii="Calibri" w:hAnsi="Calibri" w:cs="Calibri"/>
          <w:color w:val="404040"/>
        </w:rPr>
        <w:t>microbiomic</w:t>
      </w:r>
      <w:proofErr w:type="spellEnd"/>
      <w:r>
        <w:rPr>
          <w:rFonts w:ascii="Calibri" w:hAnsi="Calibri" w:cs="Calibri"/>
          <w:color w:val="404040"/>
        </w:rPr>
        <w:t xml:space="preserve"> data, as well as </w:t>
      </w:r>
      <w:proofErr w:type="gramStart"/>
      <w:r>
        <w:rPr>
          <w:rFonts w:ascii="Calibri" w:hAnsi="Calibri" w:cs="Calibri"/>
          <w:color w:val="404040"/>
        </w:rPr>
        <w:t>targeted</w:t>
      </w:r>
      <w:proofErr w:type="gramEnd"/>
      <w:r>
        <w:rPr>
          <w:rFonts w:ascii="Calibri" w:hAnsi="Calibri" w:cs="Calibri"/>
          <w:color w:val="404040"/>
        </w:rPr>
        <w:t xml:space="preserve"> biomarker and immunological assay data, linked to detailed health outcomes, electronic healthcare records and other COVID-19 studies. This rich resource therefore presents an exciting opportunity to develop and apply state-of-the-art analytic approaches </w:t>
      </w:r>
      <w:proofErr w:type="gramStart"/>
      <w:r>
        <w:rPr>
          <w:rFonts w:ascii="Calibri" w:hAnsi="Calibri" w:cs="Calibri"/>
          <w:color w:val="404040"/>
        </w:rPr>
        <w:t>to directly answer</w:t>
      </w:r>
      <w:proofErr w:type="gramEnd"/>
      <w:r>
        <w:rPr>
          <w:rFonts w:ascii="Calibri" w:hAnsi="Calibri" w:cs="Calibri"/>
          <w:color w:val="404040"/>
        </w:rPr>
        <w:t xml:space="preserve"> important research questions about the biological processes that underlie the medium and long-term effects of COVID-19.</w:t>
      </w:r>
      <w:bookmarkStart w:id="0" w:name="_GoBack"/>
      <w:bookmarkEnd w:id="0"/>
    </w:p>
    <w:sectPr w:rsidR="0062154B">
      <w:pgSz w:w="11904" w:h="16836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3BE"/>
    <w:multiLevelType w:val="hybridMultilevel"/>
    <w:tmpl w:val="5F68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6AB"/>
    <w:multiLevelType w:val="hybridMultilevel"/>
    <w:tmpl w:val="CFEC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65"/>
    <w:rsid w:val="00017075"/>
    <w:rsid w:val="0062154B"/>
    <w:rsid w:val="00872A25"/>
    <w:rsid w:val="00894265"/>
    <w:rsid w:val="008A3003"/>
    <w:rsid w:val="009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DB333"/>
  <w14:defaultImageDpi w14:val="0"/>
  <w15:docId w15:val="{BB75ED8D-DEE7-4757-B2C5-D9030CF6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Sarah F.A.</dc:creator>
  <cp:keywords/>
  <dc:description/>
  <cp:lastModifiedBy>Robinson, Sarah F.A.</cp:lastModifiedBy>
  <cp:revision>2</cp:revision>
  <dcterms:created xsi:type="dcterms:W3CDTF">2021-10-06T10:13:00Z</dcterms:created>
  <dcterms:modified xsi:type="dcterms:W3CDTF">2021-10-06T10:13:00Z</dcterms:modified>
</cp:coreProperties>
</file>