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6E7C" w14:textId="77777777" w:rsidR="009B4C19" w:rsidRDefault="009B4C19" w:rsidP="009B4C19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University of Leicester Future 100 PhD Scholarship </w:t>
      </w:r>
    </w:p>
    <w:p w14:paraId="461DFEC5" w14:textId="44B98B1C" w:rsidR="005070D1" w:rsidRDefault="009B4C19" w:rsidP="009B4C1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Project Reference:  </w:t>
      </w:r>
      <w:bookmarkStart w:id="0" w:name="_GoBack"/>
      <w:r>
        <w:rPr>
          <w:rFonts w:cs="Arial"/>
          <w:b/>
        </w:rPr>
        <w:t>RI-SPACE-Williams</w:t>
      </w:r>
      <w:bookmarkEnd w:id="0"/>
    </w:p>
    <w:p w14:paraId="1D1A7E20" w14:textId="77777777" w:rsidR="009B4C19" w:rsidRDefault="009B4C19" w:rsidP="009B4C19">
      <w:pPr>
        <w:spacing w:after="0" w:line="240" w:lineRule="auto"/>
        <w:rPr>
          <w:b/>
        </w:rPr>
      </w:pPr>
    </w:p>
    <w:p w14:paraId="043ED4C7" w14:textId="58FB9207" w:rsidR="006E6127" w:rsidRPr="006B05B2" w:rsidRDefault="006E6127" w:rsidP="005D7571">
      <w:pPr>
        <w:spacing w:after="0" w:line="240" w:lineRule="auto"/>
        <w:rPr>
          <w:b/>
          <w:i/>
        </w:rPr>
      </w:pPr>
      <w:r w:rsidRPr="006B05B2">
        <w:rPr>
          <w:b/>
        </w:rPr>
        <w:t>Section 1 –</w:t>
      </w:r>
      <w:r w:rsidRPr="006B05B2">
        <w:rPr>
          <w:b/>
          <w:i/>
        </w:rPr>
        <w:t xml:space="preserve"> Supervisor Information</w:t>
      </w: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6E6127" w14:paraId="1A8AEE3E" w14:textId="77777777" w:rsidTr="00F032DC">
        <w:tc>
          <w:tcPr>
            <w:tcW w:w="3227" w:type="dxa"/>
            <w:shd w:val="clear" w:color="auto" w:fill="F2F2F2" w:themeFill="background1" w:themeFillShade="F2"/>
          </w:tcPr>
          <w:p w14:paraId="797595AE" w14:textId="247F67C9" w:rsidR="006E6127" w:rsidRPr="00B11D52" w:rsidRDefault="009B4C19" w:rsidP="009B4C19">
            <w:pPr>
              <w:rPr>
                <w:b/>
              </w:rPr>
            </w:pPr>
            <w:r>
              <w:rPr>
                <w:b/>
              </w:rPr>
              <w:t xml:space="preserve">First Supervisor </w:t>
            </w:r>
          </w:p>
        </w:tc>
        <w:tc>
          <w:tcPr>
            <w:tcW w:w="5807" w:type="dxa"/>
          </w:tcPr>
          <w:p w14:paraId="2EFC27AD" w14:textId="1FDE172C" w:rsidR="006E6127" w:rsidRDefault="00DD7139" w:rsidP="005D7571">
            <w:r>
              <w:t>Dr Hugo Williams</w:t>
            </w:r>
          </w:p>
        </w:tc>
      </w:tr>
      <w:tr w:rsidR="006E6127" w14:paraId="440F0AB6" w14:textId="77777777" w:rsidTr="00F032DC">
        <w:tc>
          <w:tcPr>
            <w:tcW w:w="3227" w:type="dxa"/>
            <w:shd w:val="clear" w:color="auto" w:fill="F2F2F2" w:themeFill="background1" w:themeFillShade="F2"/>
          </w:tcPr>
          <w:p w14:paraId="5EE2848F" w14:textId="77777777" w:rsidR="006E6127" w:rsidRPr="00B11D52" w:rsidRDefault="006E6127" w:rsidP="005D7571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33043918" w14:textId="15611264" w:rsidR="006E6127" w:rsidRDefault="00DD7139" w:rsidP="005D7571">
            <w:r>
              <w:t>Engineering</w:t>
            </w:r>
          </w:p>
        </w:tc>
      </w:tr>
      <w:tr w:rsidR="009B4C19" w14:paraId="50DAD948" w14:textId="77777777" w:rsidTr="00F97BFA">
        <w:tc>
          <w:tcPr>
            <w:tcW w:w="3227" w:type="dxa"/>
            <w:shd w:val="clear" w:color="auto" w:fill="F2F2F2" w:themeFill="background1" w:themeFillShade="F2"/>
          </w:tcPr>
          <w:p w14:paraId="101ABC6A" w14:textId="77777777" w:rsidR="009B4C19" w:rsidRDefault="009B4C19" w:rsidP="005D7571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731A3E74" w14:textId="2C4528B5" w:rsidR="009B4C19" w:rsidRDefault="009B4C19" w:rsidP="005D7571">
            <w:hyperlink r:id="rId8" w:history="1">
              <w:r w:rsidRPr="009C0D8A">
                <w:rPr>
                  <w:rStyle w:val="Hyperlink"/>
                </w:rPr>
                <w:t>hw114@leicester.ac.uk</w:t>
              </w:r>
            </w:hyperlink>
            <w:r>
              <w:t xml:space="preserve"> </w:t>
            </w:r>
          </w:p>
        </w:tc>
      </w:tr>
    </w:tbl>
    <w:p w14:paraId="46EA624D" w14:textId="77777777" w:rsidR="006E6127" w:rsidRDefault="006E6127" w:rsidP="005D757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2830"/>
        <w:gridCol w:w="6204"/>
      </w:tblGrid>
      <w:tr w:rsidR="006E6127" w14:paraId="0A85AC2D" w14:textId="77777777" w:rsidTr="005070D1">
        <w:tc>
          <w:tcPr>
            <w:tcW w:w="2830" w:type="dxa"/>
            <w:shd w:val="clear" w:color="auto" w:fill="F2F2F2" w:themeFill="background1" w:themeFillShade="F2"/>
          </w:tcPr>
          <w:p w14:paraId="28C9FD24" w14:textId="77777777" w:rsidR="006E6127" w:rsidRPr="00B11D52" w:rsidRDefault="006E6127" w:rsidP="005D7571">
            <w:pPr>
              <w:rPr>
                <w:b/>
              </w:rPr>
            </w:pPr>
            <w:r>
              <w:rPr>
                <w:b/>
              </w:rPr>
              <w:t>Proposed Second Supervisor</w:t>
            </w:r>
          </w:p>
        </w:tc>
        <w:tc>
          <w:tcPr>
            <w:tcW w:w="6204" w:type="dxa"/>
          </w:tcPr>
          <w:p w14:paraId="68010765" w14:textId="5D55B2C2" w:rsidR="006E6127" w:rsidRDefault="0009190D" w:rsidP="005D7571">
            <w:r>
              <w:t>Dr Beatriz S</w:t>
            </w:r>
            <w:r w:rsidR="004A0009" w:rsidRPr="004A0009">
              <w:t>á</w:t>
            </w:r>
            <w:r>
              <w:t>nchez-Cano</w:t>
            </w:r>
          </w:p>
        </w:tc>
      </w:tr>
    </w:tbl>
    <w:p w14:paraId="1AE5BD17" w14:textId="77777777" w:rsidR="006E6127" w:rsidRDefault="006E6127" w:rsidP="005D7571">
      <w:pPr>
        <w:spacing w:after="0" w:line="240" w:lineRule="auto"/>
      </w:pPr>
    </w:p>
    <w:p w14:paraId="3C7C5CA8" w14:textId="77777777" w:rsidR="006E6127" w:rsidRPr="006B05B2" w:rsidRDefault="006E6127" w:rsidP="005D757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6E6127" w14:paraId="61847E1F" w14:textId="77777777" w:rsidTr="00F032DC">
        <w:tc>
          <w:tcPr>
            <w:tcW w:w="1980" w:type="dxa"/>
            <w:shd w:val="clear" w:color="auto" w:fill="F2F2F2" w:themeFill="background1" w:themeFillShade="F2"/>
          </w:tcPr>
          <w:p w14:paraId="09FB775F" w14:textId="77777777" w:rsidR="006E6127" w:rsidRDefault="006E6127" w:rsidP="005D7571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0F1F1EED" w14:textId="77777777" w:rsidR="006E6127" w:rsidRPr="00B11D52" w:rsidRDefault="006E6127" w:rsidP="005D7571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37F23267" w14:textId="122F8146" w:rsidR="006E6127" w:rsidRDefault="0022374E" w:rsidP="002E42BE">
            <w:proofErr w:type="spellStart"/>
            <w:r>
              <w:t>IntegNuRet</w:t>
            </w:r>
            <w:proofErr w:type="spellEnd"/>
            <w:r>
              <w:t xml:space="preserve"> </w:t>
            </w:r>
            <w:r w:rsidR="002E42BE">
              <w:t>–</w:t>
            </w:r>
            <w:r>
              <w:t xml:space="preserve"> </w:t>
            </w:r>
            <w:r w:rsidRPr="0022374E">
              <w:rPr>
                <w:b/>
              </w:rPr>
              <w:t>Int</w:t>
            </w:r>
            <w:r>
              <w:t>egrating</w:t>
            </w:r>
            <w:r w:rsidR="002E42BE">
              <w:t xml:space="preserve"> Novel</w:t>
            </w:r>
            <w:r>
              <w:t xml:space="preserve"> S</w:t>
            </w:r>
            <w:r w:rsidR="00412E46">
              <w:t xml:space="preserve">pace </w:t>
            </w:r>
            <w:r w:rsidRPr="0022374E">
              <w:rPr>
                <w:b/>
              </w:rPr>
              <w:t>Nu</w:t>
            </w:r>
            <w:r w:rsidR="00412E46">
              <w:t xml:space="preserve">clear </w:t>
            </w:r>
            <w:r w:rsidR="002E42BE">
              <w:t>systems</w:t>
            </w:r>
            <w:r w:rsidR="00412E46">
              <w:t xml:space="preserve"> and science </w:t>
            </w:r>
            <w:r w:rsidRPr="0022374E">
              <w:rPr>
                <w:b/>
              </w:rPr>
              <w:t>Ret</w:t>
            </w:r>
            <w:r w:rsidR="00412E46">
              <w:t xml:space="preserve">urn </w:t>
            </w:r>
            <w:r w:rsidR="000D1003">
              <w:t>for novel space missions.</w:t>
            </w:r>
          </w:p>
        </w:tc>
      </w:tr>
      <w:tr w:rsidR="006E6127" w14:paraId="022FF22A" w14:textId="77777777" w:rsidTr="00F032DC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32E749E6" w14:textId="77777777" w:rsidR="006E6127" w:rsidRDefault="006E6127" w:rsidP="005D7571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E0ABFD6" w14:textId="77777777" w:rsidR="006E6127" w:rsidRDefault="006E6127" w:rsidP="005D7571">
            <w:r>
              <w:t>1.</w:t>
            </w:r>
          </w:p>
        </w:tc>
        <w:tc>
          <w:tcPr>
            <w:tcW w:w="6611" w:type="dxa"/>
          </w:tcPr>
          <w:p w14:paraId="2D6E794B" w14:textId="1284BB08" w:rsidR="006E6127" w:rsidRDefault="004724E4" w:rsidP="005D7571">
            <w:r>
              <w:t>Identify novel adaptation or development of current state-of-the-art space nuclear power technologies.</w:t>
            </w:r>
          </w:p>
        </w:tc>
      </w:tr>
      <w:tr w:rsidR="006E6127" w14:paraId="6A3A0D58" w14:textId="77777777" w:rsidTr="00F032DC">
        <w:tc>
          <w:tcPr>
            <w:tcW w:w="1980" w:type="dxa"/>
            <w:vMerge/>
            <w:shd w:val="clear" w:color="auto" w:fill="F2F2F2" w:themeFill="background1" w:themeFillShade="F2"/>
          </w:tcPr>
          <w:p w14:paraId="0469E66A" w14:textId="77777777" w:rsidR="006E6127" w:rsidRDefault="006E6127" w:rsidP="005D757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DB929FA" w14:textId="77777777" w:rsidR="006E6127" w:rsidRDefault="006E6127" w:rsidP="005D7571">
            <w:r>
              <w:t>2.</w:t>
            </w:r>
          </w:p>
        </w:tc>
        <w:tc>
          <w:tcPr>
            <w:tcW w:w="6611" w:type="dxa"/>
          </w:tcPr>
          <w:p w14:paraId="738C58DD" w14:textId="2830425F" w:rsidR="006E6127" w:rsidRDefault="004724E4" w:rsidP="005D7571">
            <w:r>
              <w:t>Use a truly interdisciplinary approach to develop and quantify the development of these technologies in parallel with the science return and mission concepts.</w:t>
            </w:r>
          </w:p>
        </w:tc>
      </w:tr>
      <w:tr w:rsidR="006E6127" w14:paraId="5992A2EF" w14:textId="77777777" w:rsidTr="00F032DC">
        <w:tc>
          <w:tcPr>
            <w:tcW w:w="1980" w:type="dxa"/>
            <w:vMerge/>
            <w:shd w:val="clear" w:color="auto" w:fill="F2F2F2" w:themeFill="background1" w:themeFillShade="F2"/>
          </w:tcPr>
          <w:p w14:paraId="501EDAEF" w14:textId="77777777" w:rsidR="006E6127" w:rsidRDefault="006E6127" w:rsidP="005D757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AC1E73A" w14:textId="77777777" w:rsidR="006E6127" w:rsidRDefault="006E6127" w:rsidP="005D7571">
            <w:r>
              <w:t>3.</w:t>
            </w:r>
          </w:p>
        </w:tc>
        <w:tc>
          <w:tcPr>
            <w:tcW w:w="6611" w:type="dxa"/>
          </w:tcPr>
          <w:p w14:paraId="0BD08533" w14:textId="2B0EE5B8" w:rsidR="006E6127" w:rsidRPr="004724E4" w:rsidRDefault="004724E4" w:rsidP="0073414C">
            <w:pPr>
              <w:rPr>
                <w:b/>
              </w:rPr>
            </w:pPr>
            <w:r>
              <w:t xml:space="preserve">Use facilities and research environment </w:t>
            </w:r>
            <w:r w:rsidR="0073414C">
              <w:t>of</w:t>
            </w:r>
            <w:r>
              <w:t xml:space="preserve"> </w:t>
            </w:r>
            <w:r w:rsidRPr="004724E4">
              <w:t>Space Park Leicester Insti</w:t>
            </w:r>
            <w:r>
              <w:t xml:space="preserve">tute of Research and Innovation, the two Schools and established </w:t>
            </w:r>
            <w:r w:rsidR="0073414C">
              <w:t xml:space="preserve">and supportive </w:t>
            </w:r>
            <w:r w:rsidR="00976320">
              <w:t>team to produce high-impact outputs.</w:t>
            </w:r>
          </w:p>
        </w:tc>
      </w:tr>
      <w:tr w:rsidR="006E6127" w14:paraId="29387A84" w14:textId="77777777" w:rsidTr="00F032D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9818782" w14:textId="4B11E73A" w:rsidR="006E6127" w:rsidRDefault="009B4C19" w:rsidP="009B4C19">
            <w:r>
              <w:rPr>
                <w:b/>
              </w:rPr>
              <w:t xml:space="preserve">Project Overview </w:t>
            </w:r>
          </w:p>
        </w:tc>
      </w:tr>
      <w:tr w:rsidR="006E6127" w14:paraId="62CB8AA0" w14:textId="77777777" w:rsidTr="00F032DC">
        <w:tc>
          <w:tcPr>
            <w:tcW w:w="9016" w:type="dxa"/>
            <w:gridSpan w:val="3"/>
          </w:tcPr>
          <w:p w14:paraId="1BAFEBF4" w14:textId="29A3AA0C" w:rsidR="00947673" w:rsidRDefault="00DD7139" w:rsidP="005D7571">
            <w:r w:rsidRPr="00DD7139">
              <w:t xml:space="preserve">The University </w:t>
            </w:r>
            <w:r>
              <w:t>of Leicester has a world-leading role in developing americium-241 power systems for future spacecra</w:t>
            </w:r>
            <w:r w:rsidR="008D192A">
              <w:t>ft,</w:t>
            </w:r>
            <w:r w:rsidR="000D1003">
              <w:t xml:space="preserve"> and </w:t>
            </w:r>
            <w:r w:rsidR="00B265E8">
              <w:t xml:space="preserve">using this expertise to contribute to growing UK-led efforts to develop </w:t>
            </w:r>
            <w:r w:rsidR="0043724C">
              <w:t>space</w:t>
            </w:r>
            <w:r w:rsidR="00B265E8">
              <w:t xml:space="preserve"> reactor</w:t>
            </w:r>
            <w:r w:rsidR="003707DF">
              <w:t>s</w:t>
            </w:r>
            <w:r w:rsidR="00B265E8">
              <w:t xml:space="preserve">. </w:t>
            </w:r>
            <w:r w:rsidR="003707DF">
              <w:t>This technology is enabling to exciting planetary</w:t>
            </w:r>
            <w:r w:rsidR="00947673">
              <w:t xml:space="preserve"> and space</w:t>
            </w:r>
            <w:r w:rsidR="003707DF">
              <w:t xml:space="preserve"> science.</w:t>
            </w:r>
            <w:r w:rsidR="00947673">
              <w:t xml:space="preserve"> Without space nuclear power, transformative space missions like</w:t>
            </w:r>
            <w:r w:rsidR="001A4BDF">
              <w:t xml:space="preserve"> the</w:t>
            </w:r>
            <w:r w:rsidR="00947673">
              <w:t xml:space="preserve"> Voyagers, Cassini, New Horizons, Curiosity and Perseverance would not have been possible.</w:t>
            </w:r>
          </w:p>
          <w:p w14:paraId="413FC9F4" w14:textId="77777777" w:rsidR="00947673" w:rsidRDefault="00947673" w:rsidP="005D7571"/>
          <w:p w14:paraId="0C0F9F3C" w14:textId="3C1DCDDD" w:rsidR="0009190D" w:rsidRDefault="001E4978" w:rsidP="004D3719">
            <w:r>
              <w:t>A ch</w:t>
            </w:r>
            <w:r w:rsidR="00947673">
              <w:t>allenge of great significance in this field is</w:t>
            </w:r>
            <w:r>
              <w:t xml:space="preserve"> a</w:t>
            </w:r>
            <w:r w:rsidR="008D192A">
              <w:t xml:space="preserve"> “chicken</w:t>
            </w:r>
            <w:r w:rsidR="004D3719">
              <w:t>-and-</w:t>
            </w:r>
            <w:r w:rsidR="008D192A">
              <w:t>egg”</w:t>
            </w:r>
            <w:r>
              <w:t xml:space="preserve"> paradox between </w:t>
            </w:r>
            <w:r w:rsidR="008D192A">
              <w:t xml:space="preserve">space exploration </w:t>
            </w:r>
            <w:r>
              <w:t xml:space="preserve">mission studies and the formal requirements needed to develop these technologies: mission studies need to select technologies that have been developed to a credible </w:t>
            </w:r>
            <w:r w:rsidR="008D192A">
              <w:t>maturity</w:t>
            </w:r>
            <w:r>
              <w:t>, but to do so need</w:t>
            </w:r>
            <w:r w:rsidR="002E42BE">
              <w:t>s</w:t>
            </w:r>
            <w:r>
              <w:t xml:space="preserve"> </w:t>
            </w:r>
            <w:proofErr w:type="gramStart"/>
            <w:r>
              <w:t>well defined</w:t>
            </w:r>
            <w:proofErr w:type="gramEnd"/>
            <w:r>
              <w:t xml:space="preserve"> requirements from</w:t>
            </w:r>
            <w:r w:rsidR="008D192A">
              <w:t xml:space="preserve"> those</w:t>
            </w:r>
            <w:r>
              <w:t xml:space="preserve"> missions.</w:t>
            </w:r>
            <w:r w:rsidR="008D192A">
              <w:t xml:space="preserve"> </w:t>
            </w:r>
            <w:r w:rsidR="00947673">
              <w:t>Leicester has led development of</w:t>
            </w:r>
            <w:r w:rsidR="008D192A">
              <w:t xml:space="preserve"> mature designs of Radioisotope Heater Unit (RHU) and Radioisotope Thermoelectric Generators (RTG)</w:t>
            </w:r>
            <w:r w:rsidR="00947673">
              <w:t xml:space="preserve"> for Europe</w:t>
            </w:r>
            <w:r w:rsidR="004D3719">
              <w:t>. W</w:t>
            </w:r>
            <w:r w:rsidR="00412E46">
              <w:t xml:space="preserve">ith these programmes now focussed on </w:t>
            </w:r>
            <w:r w:rsidR="004D3719">
              <w:t>development to flight readiness, a</w:t>
            </w:r>
            <w:r w:rsidR="008D192A">
              <w:t>n exciting research question is</w:t>
            </w:r>
            <w:r w:rsidR="00412E46">
              <w:t xml:space="preserve"> </w:t>
            </w:r>
            <w:r w:rsidR="008D192A">
              <w:t>what</w:t>
            </w:r>
            <w:r w:rsidR="00412E46">
              <w:t xml:space="preserve"> planetary and space science could</w:t>
            </w:r>
            <w:r w:rsidR="008D192A">
              <w:t xml:space="preserve"> be enabled by novel adaptations or developments of these designs</w:t>
            </w:r>
            <w:r w:rsidR="0009190D">
              <w:t>. These</w:t>
            </w:r>
            <w:r w:rsidR="008D192A">
              <w:t xml:space="preserve"> </w:t>
            </w:r>
            <w:proofErr w:type="gramStart"/>
            <w:r w:rsidR="008D192A">
              <w:t>cannot be explored</w:t>
            </w:r>
            <w:proofErr w:type="gramEnd"/>
            <w:r w:rsidR="008D192A">
              <w:t xml:space="preserve"> within the constraints of these main programmes.</w:t>
            </w:r>
            <w:r w:rsidR="00947673">
              <w:t xml:space="preserve"> </w:t>
            </w:r>
          </w:p>
          <w:p w14:paraId="4E919452" w14:textId="77777777" w:rsidR="0009190D" w:rsidRDefault="0009190D" w:rsidP="004D3719"/>
          <w:p w14:paraId="5D094F51" w14:textId="5337639F" w:rsidR="000D1003" w:rsidRDefault="00947673" w:rsidP="004D3719">
            <w:r>
              <w:t xml:space="preserve">The originality of this PhD is to tackle the technology and mission </w:t>
            </w:r>
            <w:r w:rsidR="00412E46">
              <w:t>concepts</w:t>
            </w:r>
            <w:r>
              <w:t xml:space="preserve"> in a fully integrated manner</w:t>
            </w:r>
            <w:r w:rsidR="00412E46">
              <w:t xml:space="preserve"> to quantify the link between technology and science return more directly than has been previously attempted. Specifically, t</w:t>
            </w:r>
            <w:r>
              <w:t xml:space="preserve">he research </w:t>
            </w:r>
            <w:r w:rsidR="00412E46">
              <w:t xml:space="preserve">will identify and develop novel variations such as small-scale RTGs or </w:t>
            </w:r>
            <w:r w:rsidR="0043724C">
              <w:t>nuclear-electric hybrids</w:t>
            </w:r>
            <w:r w:rsidR="00412E46">
              <w:t xml:space="preserve"> and develop these in parallel with topical space research questions and missions</w:t>
            </w:r>
            <w:r w:rsidR="0043724C">
              <w:t xml:space="preserve"> to the lunar and Martian surface, and outer solar system</w:t>
            </w:r>
            <w:r w:rsidR="00412E46">
              <w:t xml:space="preserve">. </w:t>
            </w:r>
          </w:p>
          <w:p w14:paraId="078B7929" w14:textId="77777777" w:rsidR="000D1003" w:rsidRDefault="000D1003" w:rsidP="004D3719"/>
          <w:p w14:paraId="36A606F7" w14:textId="584C0B84" w:rsidR="00DD7139" w:rsidRDefault="004D3719" w:rsidP="004D3719">
            <w:r>
              <w:lastRenderedPageBreak/>
              <w:t xml:space="preserve">This </w:t>
            </w:r>
            <w:proofErr w:type="gramStart"/>
            <w:r>
              <w:t>is expected</w:t>
            </w:r>
            <w:proofErr w:type="gramEnd"/>
            <w:r>
              <w:t xml:space="preserve"> to generate high impact journal and conference publications. The originality of linking the enab</w:t>
            </w:r>
            <w:r w:rsidRPr="0009190D">
              <w:rPr>
                <w:i/>
              </w:rPr>
              <w:t>ling</w:t>
            </w:r>
            <w:r>
              <w:t xml:space="preserve"> technology and enab</w:t>
            </w:r>
            <w:r w:rsidRPr="0009190D">
              <w:rPr>
                <w:i/>
              </w:rPr>
              <w:t>led</w:t>
            </w:r>
            <w:r>
              <w:t xml:space="preserve"> science so closely enhances the likelihood of adoption and therefore contribution to successful REF impact case studies.</w:t>
            </w:r>
            <w:r w:rsidR="00FF0C66">
              <w:t xml:space="preserve"> </w:t>
            </w:r>
          </w:p>
          <w:p w14:paraId="561C1403" w14:textId="77777777" w:rsidR="004D3719" w:rsidRDefault="004D3719" w:rsidP="004D3719"/>
          <w:p w14:paraId="03E0BC86" w14:textId="77777777" w:rsidR="004D3719" w:rsidRDefault="004D3719" w:rsidP="000D1003">
            <w:r>
              <w:t xml:space="preserve">This project will represent an extraordinary opportunity </w:t>
            </w:r>
            <w:r w:rsidR="000D1003">
              <w:t xml:space="preserve">for a postgraduate researcher to work on a truly interdisciplinary project at the interface of Engineering and Physics, on a project combining theoretical and practical aspects and in a supportive research environment of established researchers and </w:t>
            </w:r>
            <w:proofErr w:type="gramStart"/>
            <w:r w:rsidR="000D1003">
              <w:t>world-class</w:t>
            </w:r>
            <w:proofErr w:type="gramEnd"/>
            <w:r w:rsidR="000D1003">
              <w:t xml:space="preserve"> facilities. It </w:t>
            </w:r>
            <w:proofErr w:type="gramStart"/>
            <w:r w:rsidR="000D1003">
              <w:t>is expected</w:t>
            </w:r>
            <w:proofErr w:type="gramEnd"/>
            <w:r w:rsidR="000D1003">
              <w:t xml:space="preserve"> to attract a very high calibre of applicant and give them a foundation for a successful academic or industrial career.</w:t>
            </w:r>
          </w:p>
          <w:p w14:paraId="76C0F031" w14:textId="7D3F63B3" w:rsidR="002E42BE" w:rsidRPr="00DD7139" w:rsidRDefault="002E42BE" w:rsidP="000D1003"/>
        </w:tc>
      </w:tr>
      <w:tr w:rsidR="006E6127" w14:paraId="3C704C93" w14:textId="77777777" w:rsidTr="00F032D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591FBA9" w14:textId="35156447" w:rsidR="006E6127" w:rsidRDefault="006E6127" w:rsidP="005D7571">
            <w:pPr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9B4C19">
              <w:rPr>
                <w:b/>
              </w:rPr>
              <w:t xml:space="preserve">ethodology </w:t>
            </w:r>
          </w:p>
        </w:tc>
      </w:tr>
      <w:tr w:rsidR="006E6127" w14:paraId="336CD0D6" w14:textId="77777777" w:rsidTr="00F032DC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C889EA8" w14:textId="59DECD30" w:rsidR="00E229F0" w:rsidRDefault="000D1003" w:rsidP="00E229F0">
            <w:r>
              <w:t xml:space="preserve">The project literature review </w:t>
            </w:r>
            <w:proofErr w:type="gramStart"/>
            <w:r>
              <w:t xml:space="preserve">will </w:t>
            </w:r>
            <w:r w:rsidR="00E229F0">
              <w:t>be conducted</w:t>
            </w:r>
            <w:proofErr w:type="gramEnd"/>
            <w:r w:rsidR="00E229F0">
              <w:t xml:space="preserve"> with the du</w:t>
            </w:r>
            <w:r w:rsidR="001A4BDF">
              <w:t>a</w:t>
            </w:r>
            <w:r w:rsidR="00E229F0">
              <w:t xml:space="preserve">l aim of review and </w:t>
            </w:r>
            <w:r>
              <w:t>down</w:t>
            </w:r>
            <w:r w:rsidR="001A4BDF">
              <w:t>-</w:t>
            </w:r>
            <w:r>
              <w:t>select</w:t>
            </w:r>
            <w:r w:rsidR="00E229F0">
              <w:t xml:space="preserve">ion of a </w:t>
            </w:r>
            <w:r>
              <w:t xml:space="preserve">number of </w:t>
            </w:r>
            <w:r w:rsidR="00E229F0">
              <w:t>novel variations on existing</w:t>
            </w:r>
            <w:r w:rsidR="001A4BDF">
              <w:t xml:space="preserve"> space nuclear system designs</w:t>
            </w:r>
            <w:r w:rsidR="00E229F0">
              <w:t>, and identifying planetary and space science research questions and related missions. The output of the lit</w:t>
            </w:r>
            <w:r w:rsidR="00AA241B">
              <w:t>erature</w:t>
            </w:r>
            <w:r w:rsidR="00E229F0">
              <w:t xml:space="preserve"> review will be a number of case studies to pursue, along with a decision on the level of detail t</w:t>
            </w:r>
            <w:r w:rsidR="001A4BDF">
              <w:t xml:space="preserve">o </w:t>
            </w:r>
            <w:proofErr w:type="gramStart"/>
            <w:r w:rsidR="001A4BDF">
              <w:t>be pursued</w:t>
            </w:r>
            <w:proofErr w:type="gramEnd"/>
            <w:r w:rsidR="001A4BDF">
              <w:t xml:space="preserve"> on each case study.</w:t>
            </w:r>
          </w:p>
          <w:p w14:paraId="74EF1F9E" w14:textId="149CEB35" w:rsidR="00E229F0" w:rsidRDefault="00E229F0" w:rsidP="00E229F0"/>
          <w:p w14:paraId="62F81F00" w14:textId="4EDCEA6A" w:rsidR="00E229F0" w:rsidRDefault="00E229F0" w:rsidP="00E229F0">
            <w:proofErr w:type="gramStart"/>
            <w:r>
              <w:t>The bulk of the analytical research will consist of design, simulation of system performance and missions</w:t>
            </w:r>
            <w:r w:rsidR="004724E4">
              <w:t>, using the</w:t>
            </w:r>
            <w:r>
              <w:t xml:space="preserve"> combined experience of the</w:t>
            </w:r>
            <w:r w:rsidR="004724E4">
              <w:t xml:space="preserve"> </w:t>
            </w:r>
            <w:r w:rsidR="004724E4" w:rsidRPr="004724E4">
              <w:t>Space Park Leicester Institute of Research and Innovation</w:t>
            </w:r>
            <w:r w:rsidR="004724E4">
              <w:t xml:space="preserve">, and the </w:t>
            </w:r>
            <w:r>
              <w:t xml:space="preserve">two Schools </w:t>
            </w:r>
            <w:r w:rsidR="004724E4">
              <w:t xml:space="preserve">in industry-standard tools such as </w:t>
            </w:r>
            <w:r>
              <w:t>Siemens NX, COMSOL</w:t>
            </w:r>
            <w:r w:rsidR="004724E4">
              <w:t xml:space="preserve">, </w:t>
            </w:r>
            <w:r>
              <w:t>GMAT</w:t>
            </w:r>
            <w:r w:rsidR="004724E4">
              <w:t>, and Concurrent Design Facility (CDF) based approaches, plus specialised methods</w:t>
            </w:r>
            <w:r w:rsidR="001A4BDF">
              <w:t xml:space="preserve"> and modelling approaches</w:t>
            </w:r>
            <w:r w:rsidR="004724E4">
              <w:t xml:space="preserve"> applicable to relevant space science</w:t>
            </w:r>
            <w:r w:rsidR="001A4BDF">
              <w:t xml:space="preserve"> and instruments</w:t>
            </w:r>
            <w:r w:rsidR="004724E4">
              <w:t>.</w:t>
            </w:r>
            <w:proofErr w:type="gramEnd"/>
            <w:r w:rsidR="004724E4">
              <w:t xml:space="preserve"> Practical work will focus on development of Laboratory Breadboards to substantiate performance.</w:t>
            </w:r>
          </w:p>
          <w:p w14:paraId="0C19BA87" w14:textId="0B478659" w:rsidR="005070D1" w:rsidRDefault="005070D1" w:rsidP="00E229F0"/>
          <w:p w14:paraId="51F9BFAD" w14:textId="33299B52" w:rsidR="005070D1" w:rsidRPr="009B4C19" w:rsidRDefault="005070D1" w:rsidP="00E229F0">
            <w:pPr>
              <w:rPr>
                <w:b/>
              </w:rPr>
            </w:pPr>
            <w:r w:rsidRPr="009B4C19">
              <w:rPr>
                <w:b/>
              </w:rPr>
              <w:t>References</w:t>
            </w:r>
          </w:p>
          <w:p w14:paraId="20F29D55" w14:textId="168A8100" w:rsidR="005070D1" w:rsidRDefault="005070D1" w:rsidP="00E229F0"/>
          <w:p w14:paraId="0619352D" w14:textId="77777777" w:rsidR="005070D1" w:rsidRDefault="005070D1" w:rsidP="005070D1">
            <w:r w:rsidRPr="00434658">
              <w:rPr>
                <w:highlight w:val="lightGray"/>
              </w:rPr>
              <w:t>Sánchez-</w:t>
            </w:r>
            <w:proofErr w:type="gramStart"/>
            <w:r w:rsidRPr="00434658">
              <w:rPr>
                <w:highlight w:val="lightGray"/>
              </w:rPr>
              <w:t>Cano  B</w:t>
            </w:r>
            <w:proofErr w:type="gramEnd"/>
            <w:r w:rsidRPr="00434658">
              <w:t>, Lester M.</w:t>
            </w:r>
            <w:r>
              <w:t xml:space="preserve"> </w:t>
            </w:r>
            <w:r w:rsidRPr="00434658">
              <w:t>et al.</w:t>
            </w:r>
            <w:r>
              <w:t xml:space="preserve"> 2021.</w:t>
            </w:r>
            <w:r w:rsidRPr="00434658">
              <w:t xml:space="preserve"> Mars’ plasma system. Scientific potential of coordinated multipoint missions: “The next generation”. </w:t>
            </w:r>
            <w:r w:rsidRPr="00434658">
              <w:rPr>
                <w:i/>
              </w:rPr>
              <w:t>Experimental Astronomy</w:t>
            </w:r>
            <w:r w:rsidRPr="00434658">
              <w:t xml:space="preserve">. </w:t>
            </w:r>
            <w:hyperlink r:id="rId9" w:history="1">
              <w:r w:rsidRPr="00BA2DBE">
                <w:rPr>
                  <w:rStyle w:val="Hyperlink"/>
                </w:rPr>
                <w:t>https://doi.org/10.1007/s10686-021-09790-0</w:t>
              </w:r>
            </w:hyperlink>
            <w:r>
              <w:t xml:space="preserve"> </w:t>
            </w:r>
          </w:p>
          <w:p w14:paraId="1019A710" w14:textId="77777777" w:rsidR="005070D1" w:rsidRDefault="005070D1" w:rsidP="005070D1"/>
          <w:p w14:paraId="432ACEA1" w14:textId="77777777" w:rsidR="005070D1" w:rsidRDefault="005070D1" w:rsidP="005070D1">
            <w:r>
              <w:t xml:space="preserve">Ambrosi RM, </w:t>
            </w:r>
            <w:r w:rsidRPr="002C418F">
              <w:rPr>
                <w:highlight w:val="lightGray"/>
              </w:rPr>
              <w:t>Williams HR</w:t>
            </w:r>
            <w:r w:rsidRPr="00B265E8">
              <w:t xml:space="preserve"> </w:t>
            </w:r>
            <w:r w:rsidRPr="00CB119C">
              <w:rPr>
                <w:i/>
              </w:rPr>
              <w:t>et al</w:t>
            </w:r>
            <w:r w:rsidRPr="00B265E8">
              <w:t xml:space="preserve">. </w:t>
            </w:r>
            <w:r>
              <w:t xml:space="preserve">2019. </w:t>
            </w:r>
            <w:r w:rsidRPr="00B265E8">
              <w:t>European Radioisotope Thermoelectric Generators (RTGs) and Radioisotope Heater Units (RHUs) for Space Science and Explorati</w:t>
            </w:r>
            <w:r>
              <w:t xml:space="preserve">on. </w:t>
            </w:r>
            <w:r w:rsidRPr="00CB119C">
              <w:rPr>
                <w:i/>
              </w:rPr>
              <w:t>Space Science Reviews</w:t>
            </w:r>
            <w:r>
              <w:t xml:space="preserve"> </w:t>
            </w:r>
            <w:r w:rsidRPr="00CB119C">
              <w:rPr>
                <w:b/>
              </w:rPr>
              <w:t>215</w:t>
            </w:r>
            <w:r>
              <w:t>, 55</w:t>
            </w:r>
            <w:r w:rsidRPr="00B265E8">
              <w:t xml:space="preserve">. </w:t>
            </w:r>
            <w:hyperlink r:id="rId10" w:history="1">
              <w:r w:rsidRPr="004114A7">
                <w:rPr>
                  <w:rStyle w:val="Hyperlink"/>
                </w:rPr>
                <w:t>https://doi.org/10.1007/s11214-019-0623-9</w:t>
              </w:r>
            </w:hyperlink>
            <w:r>
              <w:t xml:space="preserve"> </w:t>
            </w:r>
          </w:p>
          <w:p w14:paraId="5C45CAB5" w14:textId="77777777" w:rsidR="005070D1" w:rsidRDefault="005070D1" w:rsidP="005070D1"/>
          <w:p w14:paraId="7C7E61E2" w14:textId="77777777" w:rsidR="005070D1" w:rsidRDefault="005070D1" w:rsidP="005070D1">
            <w:proofErr w:type="spellStart"/>
            <w:r w:rsidRPr="003707DF">
              <w:t>Mesalam</w:t>
            </w:r>
            <w:proofErr w:type="spellEnd"/>
            <w:r w:rsidRPr="003707DF">
              <w:t xml:space="preserve"> R, </w:t>
            </w:r>
            <w:r w:rsidRPr="002C418F">
              <w:rPr>
                <w:highlight w:val="lightGray"/>
              </w:rPr>
              <w:t>Williams HR</w:t>
            </w:r>
            <w:r w:rsidRPr="003707DF">
              <w:t xml:space="preserve"> </w:t>
            </w:r>
            <w:r w:rsidRPr="00CB119C">
              <w:rPr>
                <w:i/>
              </w:rPr>
              <w:t>et al</w:t>
            </w:r>
            <w:r w:rsidRPr="003707DF">
              <w:t xml:space="preserve">. 2018. Towards a Comprehensive Model for Characterising and Assessing Thermoelectric Modules by Impedance </w:t>
            </w:r>
            <w:r>
              <w:t xml:space="preserve">Spectroscopy. </w:t>
            </w:r>
            <w:r w:rsidRPr="00CB119C">
              <w:rPr>
                <w:i/>
              </w:rPr>
              <w:t>Applied Energy</w:t>
            </w:r>
            <w:r w:rsidRPr="003707DF">
              <w:t xml:space="preserve"> </w:t>
            </w:r>
            <w:r w:rsidRPr="00CB119C">
              <w:rPr>
                <w:b/>
              </w:rPr>
              <w:t>226</w:t>
            </w:r>
            <w:r w:rsidRPr="003707DF">
              <w:t xml:space="preserve">. 1208-1218. </w:t>
            </w:r>
            <w:hyperlink r:id="rId11" w:history="1">
              <w:r w:rsidRPr="004114A7">
                <w:rPr>
                  <w:rStyle w:val="Hyperlink"/>
                </w:rPr>
                <w:t>https://doi.org/10.1016/j.apenergy.2018.05.041</w:t>
              </w:r>
            </w:hyperlink>
            <w:r>
              <w:t xml:space="preserve"> </w:t>
            </w:r>
          </w:p>
          <w:p w14:paraId="177E1D08" w14:textId="77777777" w:rsidR="005070D1" w:rsidRDefault="005070D1" w:rsidP="005070D1"/>
          <w:p w14:paraId="5C2C6E2F" w14:textId="77777777" w:rsidR="005070D1" w:rsidRDefault="005070D1" w:rsidP="005070D1">
            <w:proofErr w:type="spellStart"/>
            <w:r>
              <w:t>Witasse</w:t>
            </w:r>
            <w:proofErr w:type="spellEnd"/>
            <w:r>
              <w:t xml:space="preserve"> O, </w:t>
            </w:r>
            <w:r w:rsidRPr="002C418F">
              <w:rPr>
                <w:highlight w:val="lightGray"/>
              </w:rPr>
              <w:t>Sánchez-Cano B</w:t>
            </w:r>
            <w:r>
              <w:t xml:space="preserve"> </w:t>
            </w:r>
            <w:r w:rsidRPr="002C418F">
              <w:rPr>
                <w:i/>
              </w:rPr>
              <w:t>et al</w:t>
            </w:r>
            <w:r>
              <w:t>. 2017.</w:t>
            </w:r>
            <w:r w:rsidRPr="002E42BE">
              <w:t xml:space="preserve"> Interplanetary coronal mass ejection observed at STEREO-A, Mars, comet 67P/</w:t>
            </w:r>
            <w:proofErr w:type="spellStart"/>
            <w:r w:rsidRPr="002E42BE">
              <w:t>Churyumov-Gerasimenko</w:t>
            </w:r>
            <w:proofErr w:type="spellEnd"/>
            <w:r w:rsidRPr="002E42BE">
              <w:t xml:space="preserve">, Saturn, and New Horizons </w:t>
            </w:r>
            <w:proofErr w:type="spellStart"/>
            <w:r w:rsidRPr="002E42BE">
              <w:t>en</w:t>
            </w:r>
            <w:proofErr w:type="spellEnd"/>
            <w:r w:rsidRPr="002E42BE">
              <w:t xml:space="preserve"> route to Pluto: Comparison of its </w:t>
            </w:r>
            <w:proofErr w:type="spellStart"/>
            <w:r w:rsidRPr="002E42BE">
              <w:t>Forbush</w:t>
            </w:r>
            <w:proofErr w:type="spellEnd"/>
            <w:r w:rsidRPr="002E42BE">
              <w:t xml:space="preserve"> de</w:t>
            </w:r>
            <w:r>
              <w:t>creases at 1.4, 3.1, and 9.9 AU.</w:t>
            </w:r>
            <w:r w:rsidRPr="002E42BE">
              <w:t xml:space="preserve"> </w:t>
            </w:r>
            <w:r w:rsidRPr="00190BA1">
              <w:rPr>
                <w:i/>
              </w:rPr>
              <w:t>Journal of Geophysical Research</w:t>
            </w:r>
            <w:r>
              <w:rPr>
                <w:i/>
              </w:rPr>
              <w:t>:</w:t>
            </w:r>
            <w:r w:rsidRPr="00190BA1">
              <w:rPr>
                <w:i/>
              </w:rPr>
              <w:t xml:space="preserve"> Space Physics</w:t>
            </w:r>
            <w:r>
              <w:t xml:space="preserve"> </w:t>
            </w:r>
            <w:r w:rsidRPr="00190BA1">
              <w:rPr>
                <w:b/>
              </w:rPr>
              <w:t>122</w:t>
            </w:r>
            <w:r>
              <w:t>, 7865– 7890.</w:t>
            </w:r>
            <w:r w:rsidRPr="002E42BE">
              <w:t xml:space="preserve"> </w:t>
            </w:r>
            <w:hyperlink r:id="rId12" w:history="1">
              <w:r w:rsidRPr="00D45C6A">
                <w:rPr>
                  <w:rStyle w:val="Hyperlink"/>
                </w:rPr>
                <w:t>https://doi:10.1002/2017JA023884</w:t>
              </w:r>
            </w:hyperlink>
            <w:r>
              <w:t xml:space="preserve"> </w:t>
            </w:r>
          </w:p>
          <w:p w14:paraId="2F8BD658" w14:textId="77777777" w:rsidR="005070D1" w:rsidRDefault="005070D1" w:rsidP="005070D1"/>
          <w:p w14:paraId="22AABC92" w14:textId="77777777" w:rsidR="005070D1" w:rsidRDefault="005070D1" w:rsidP="005070D1">
            <w:r w:rsidRPr="002C418F">
              <w:rPr>
                <w:highlight w:val="lightGray"/>
              </w:rPr>
              <w:t>Williams HR</w:t>
            </w:r>
            <w:r w:rsidRPr="00B265E8">
              <w:t>, Ambrosi</w:t>
            </w:r>
            <w:r>
              <w:t xml:space="preserve"> RM </w:t>
            </w:r>
            <w:r w:rsidRPr="00CB119C">
              <w:rPr>
                <w:i/>
              </w:rPr>
              <w:t>et al</w:t>
            </w:r>
            <w:r>
              <w:t>. 2012. A conceptual spacecraft R</w:t>
            </w:r>
            <w:r w:rsidRPr="00B265E8">
              <w:t xml:space="preserve">adioisotope </w:t>
            </w:r>
            <w:r>
              <w:t>Thermoelectric and Heating U</w:t>
            </w:r>
            <w:r w:rsidRPr="00B265E8">
              <w:t xml:space="preserve">nit (RTHU). </w:t>
            </w:r>
            <w:r w:rsidRPr="00CB119C">
              <w:rPr>
                <w:i/>
              </w:rPr>
              <w:t>International Journal of Energy Research</w:t>
            </w:r>
            <w:r w:rsidRPr="00B265E8">
              <w:t xml:space="preserve"> </w:t>
            </w:r>
            <w:r w:rsidRPr="00CB119C">
              <w:rPr>
                <w:b/>
              </w:rPr>
              <w:t>36</w:t>
            </w:r>
            <w:r w:rsidRPr="00B265E8">
              <w:t xml:space="preserve">: 1192-1200. </w:t>
            </w:r>
            <w:hyperlink r:id="rId13" w:history="1">
              <w:r w:rsidRPr="004114A7">
                <w:rPr>
                  <w:rStyle w:val="Hyperlink"/>
                </w:rPr>
                <w:t>https://doi.org/10.1002/er.1864</w:t>
              </w:r>
            </w:hyperlink>
          </w:p>
          <w:p w14:paraId="0B10F546" w14:textId="77777777" w:rsidR="005070D1" w:rsidRDefault="005070D1" w:rsidP="005070D1"/>
          <w:p w14:paraId="249E35CE" w14:textId="77777777" w:rsidR="005070D1" w:rsidRDefault="005070D1" w:rsidP="005070D1">
            <w:r w:rsidRPr="002C418F">
              <w:rPr>
                <w:highlight w:val="lightGray"/>
              </w:rPr>
              <w:t>Williams HR</w:t>
            </w:r>
            <w:r>
              <w:t xml:space="preserve">, Ambrosi RM &amp; Bannister NP. 2011. A Mars hopping vehicle propelled by a radioisotope thermal rocket: </w:t>
            </w:r>
            <w:proofErr w:type="spellStart"/>
            <w:r>
              <w:t>thermofluid</w:t>
            </w:r>
            <w:proofErr w:type="spellEnd"/>
            <w:r>
              <w:t xml:space="preserve"> design and materials selection. </w:t>
            </w:r>
            <w:r w:rsidRPr="00CB119C">
              <w:rPr>
                <w:i/>
              </w:rPr>
              <w:t xml:space="preserve">Proceedings of the Royal Society A </w:t>
            </w:r>
            <w:r w:rsidRPr="00CB119C">
              <w:rPr>
                <w:b/>
              </w:rPr>
              <w:t>467</w:t>
            </w:r>
            <w:r>
              <w:t>. 1290–1309</w:t>
            </w:r>
          </w:p>
          <w:p w14:paraId="6482DC3A" w14:textId="77777777" w:rsidR="005070D1" w:rsidRDefault="009B4C19" w:rsidP="005070D1">
            <w:hyperlink r:id="rId14" w:history="1">
              <w:r w:rsidR="005070D1" w:rsidRPr="004114A7">
                <w:rPr>
                  <w:rStyle w:val="Hyperlink"/>
                </w:rPr>
                <w:t>http://doi.org/10.1098/rspa.2010.0438</w:t>
              </w:r>
            </w:hyperlink>
            <w:r w:rsidR="005070D1">
              <w:t xml:space="preserve"> </w:t>
            </w:r>
          </w:p>
          <w:p w14:paraId="3B367680" w14:textId="658E5CD2" w:rsidR="00E229F0" w:rsidRPr="00F26485" w:rsidRDefault="00E229F0" w:rsidP="00E229F0"/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footerReference w:type="even" r:id="rId15"/>
      <w:footerReference w:type="default" r:id="rId16"/>
      <w:footerReference w:type="first" r:id="rId17"/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C59B" w14:textId="77777777" w:rsidR="000F21F8" w:rsidRDefault="000F21F8" w:rsidP="006E6127">
      <w:pPr>
        <w:spacing w:after="0" w:line="240" w:lineRule="auto"/>
      </w:pPr>
      <w:r>
        <w:separator/>
      </w:r>
    </w:p>
  </w:endnote>
  <w:endnote w:type="continuationSeparator" w:id="0">
    <w:p w14:paraId="5882B7D6" w14:textId="77777777" w:rsidR="000F21F8" w:rsidRDefault="000F21F8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5898" w14:textId="77777777" w:rsidR="00257DF3" w:rsidRDefault="009B4C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420" w14:textId="77777777" w:rsidR="00257DF3" w:rsidRDefault="009B4C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41D9" w14:textId="77777777" w:rsidR="00257DF3" w:rsidRDefault="009B4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6B21E" w14:textId="77777777" w:rsidR="000F21F8" w:rsidRDefault="000F21F8" w:rsidP="006E6127">
      <w:pPr>
        <w:spacing w:after="0" w:line="240" w:lineRule="auto"/>
      </w:pPr>
      <w:r>
        <w:separator/>
      </w:r>
    </w:p>
  </w:footnote>
  <w:footnote w:type="continuationSeparator" w:id="0">
    <w:p w14:paraId="40377CF7" w14:textId="77777777" w:rsidR="000F21F8" w:rsidRDefault="000F21F8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7"/>
    <w:rsid w:val="00020B0D"/>
    <w:rsid w:val="000362E9"/>
    <w:rsid w:val="0009190D"/>
    <w:rsid w:val="000B53E0"/>
    <w:rsid w:val="000D022E"/>
    <w:rsid w:val="000D1003"/>
    <w:rsid w:val="000D3A88"/>
    <w:rsid w:val="000D4FBC"/>
    <w:rsid w:val="000E2872"/>
    <w:rsid w:val="000F21F8"/>
    <w:rsid w:val="0010106D"/>
    <w:rsid w:val="001821EF"/>
    <w:rsid w:val="00190BA1"/>
    <w:rsid w:val="001A292A"/>
    <w:rsid w:val="001A4BDF"/>
    <w:rsid w:val="001A7EBB"/>
    <w:rsid w:val="001B577C"/>
    <w:rsid w:val="001E4978"/>
    <w:rsid w:val="0022374E"/>
    <w:rsid w:val="00263603"/>
    <w:rsid w:val="002C418F"/>
    <w:rsid w:val="002C5057"/>
    <w:rsid w:val="002E42BE"/>
    <w:rsid w:val="002F5466"/>
    <w:rsid w:val="00325B09"/>
    <w:rsid w:val="00337001"/>
    <w:rsid w:val="0035424F"/>
    <w:rsid w:val="003707DF"/>
    <w:rsid w:val="00397A73"/>
    <w:rsid w:val="003A3C98"/>
    <w:rsid w:val="003F4FE5"/>
    <w:rsid w:val="00412E46"/>
    <w:rsid w:val="00434658"/>
    <w:rsid w:val="0043724C"/>
    <w:rsid w:val="00437B57"/>
    <w:rsid w:val="004724E4"/>
    <w:rsid w:val="00477FE3"/>
    <w:rsid w:val="004A0009"/>
    <w:rsid w:val="004C06E1"/>
    <w:rsid w:val="004C63D7"/>
    <w:rsid w:val="004C6DE3"/>
    <w:rsid w:val="004C7479"/>
    <w:rsid w:val="004D3719"/>
    <w:rsid w:val="004E6471"/>
    <w:rsid w:val="005070D1"/>
    <w:rsid w:val="005149F2"/>
    <w:rsid w:val="00582BA8"/>
    <w:rsid w:val="005D7571"/>
    <w:rsid w:val="006128FC"/>
    <w:rsid w:val="00665346"/>
    <w:rsid w:val="0066687C"/>
    <w:rsid w:val="00666D0A"/>
    <w:rsid w:val="00675FF9"/>
    <w:rsid w:val="006B70DD"/>
    <w:rsid w:val="006E6127"/>
    <w:rsid w:val="006F25A8"/>
    <w:rsid w:val="00710E3A"/>
    <w:rsid w:val="0073414C"/>
    <w:rsid w:val="00751EB7"/>
    <w:rsid w:val="007B63D9"/>
    <w:rsid w:val="00862C2F"/>
    <w:rsid w:val="0088062A"/>
    <w:rsid w:val="00890982"/>
    <w:rsid w:val="008A58A4"/>
    <w:rsid w:val="008D192A"/>
    <w:rsid w:val="008D6E24"/>
    <w:rsid w:val="00912C2C"/>
    <w:rsid w:val="00947673"/>
    <w:rsid w:val="00973B60"/>
    <w:rsid w:val="00976320"/>
    <w:rsid w:val="009B172C"/>
    <w:rsid w:val="009B4C19"/>
    <w:rsid w:val="009C731E"/>
    <w:rsid w:val="009E31C7"/>
    <w:rsid w:val="009F1F3E"/>
    <w:rsid w:val="00A45C8A"/>
    <w:rsid w:val="00AA241B"/>
    <w:rsid w:val="00AA5314"/>
    <w:rsid w:val="00AB27A9"/>
    <w:rsid w:val="00AB7918"/>
    <w:rsid w:val="00AF4B84"/>
    <w:rsid w:val="00B265E8"/>
    <w:rsid w:val="00B36EBC"/>
    <w:rsid w:val="00C20CA6"/>
    <w:rsid w:val="00C72021"/>
    <w:rsid w:val="00CB119C"/>
    <w:rsid w:val="00D026B5"/>
    <w:rsid w:val="00D5202E"/>
    <w:rsid w:val="00D60F03"/>
    <w:rsid w:val="00D74FCA"/>
    <w:rsid w:val="00DA7D0B"/>
    <w:rsid w:val="00DD7139"/>
    <w:rsid w:val="00E229F0"/>
    <w:rsid w:val="00E35C41"/>
    <w:rsid w:val="00E541E4"/>
    <w:rsid w:val="00E60827"/>
    <w:rsid w:val="00E75690"/>
    <w:rsid w:val="00EC61CE"/>
    <w:rsid w:val="00F253C6"/>
    <w:rsid w:val="00F44629"/>
    <w:rsid w:val="00F56631"/>
    <w:rsid w:val="00FD3DC8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114@leicester.ac.uk" TargetMode="External"/><Relationship Id="rId13" Type="http://schemas.openxmlformats.org/officeDocument/2006/relationships/hyperlink" Target="https://doi.org/10.1002/er.18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:10.1002/2017JA023884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penergy.2018.05.0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07/s11214-019-0623-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0686-021-09790-0" TargetMode="External"/><Relationship Id="rId14" Type="http://schemas.openxmlformats.org/officeDocument/2006/relationships/hyperlink" Target="http://doi.org/10.1098/rspa.2010.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FB6A-6B4B-48FC-BE51-A90C6AAB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2</cp:revision>
  <dcterms:created xsi:type="dcterms:W3CDTF">2022-01-19T17:48:00Z</dcterms:created>
  <dcterms:modified xsi:type="dcterms:W3CDTF">2022-01-19T17:48:00Z</dcterms:modified>
</cp:coreProperties>
</file>