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A95F" w14:textId="77777777" w:rsidR="00485CAE" w:rsidRDefault="00485CAE" w:rsidP="00485CAE">
      <w:pPr>
        <w:spacing w:line="240" w:lineRule="auto"/>
        <w:rPr>
          <w:rFonts w:ascii="Calibri" w:hAnsi="Calibri" w:cs="Arial"/>
          <w:b/>
        </w:rPr>
      </w:pPr>
      <w:bookmarkStart w:id="0" w:name="_GoBack"/>
      <w:bookmarkEnd w:id="0"/>
      <w:r>
        <w:rPr>
          <w:rFonts w:cs="Arial"/>
          <w:b/>
        </w:rPr>
        <w:t xml:space="preserve">University of Leicester Future 100 PhD Scholarship </w:t>
      </w:r>
    </w:p>
    <w:p w14:paraId="64C57C8C" w14:textId="77777777" w:rsidR="00485CAE" w:rsidRDefault="00485CAE" w:rsidP="00485CAE">
      <w:pPr>
        <w:spacing w:line="240" w:lineRule="auto"/>
        <w:rPr>
          <w:rFonts w:cs="Arial"/>
          <w:b/>
        </w:rPr>
      </w:pPr>
    </w:p>
    <w:p w14:paraId="4E9FA9D8" w14:textId="61DB6D1E" w:rsidR="00485CAE" w:rsidRDefault="00485CAE" w:rsidP="00485CAE">
      <w:pPr>
        <w:rPr>
          <w:rFonts w:cs="Arial"/>
          <w:b/>
        </w:rPr>
      </w:pPr>
      <w:r>
        <w:rPr>
          <w:rFonts w:cs="Arial"/>
          <w:b/>
        </w:rPr>
        <w:t xml:space="preserve">Project Reference:  </w:t>
      </w:r>
      <w:r w:rsidR="002B09AD">
        <w:rPr>
          <w:rFonts w:cs="Arial"/>
          <w:b/>
        </w:rPr>
        <w:t>RI-SPACE</w:t>
      </w:r>
      <w:r>
        <w:rPr>
          <w:rFonts w:cs="Arial"/>
          <w:b/>
        </w:rPr>
        <w:t>-Bannister</w:t>
      </w:r>
    </w:p>
    <w:p w14:paraId="542AD250" w14:textId="77777777" w:rsidR="00485CAE" w:rsidRDefault="00485CAE" w:rsidP="00485CAE">
      <w:pPr>
        <w:rPr>
          <w:rFonts w:ascii="Calibri" w:hAnsi="Calibri" w:cs="Calibri"/>
          <w:b/>
        </w:rPr>
      </w:pPr>
    </w:p>
    <w:p w14:paraId="674B9C27" w14:textId="532F0A01" w:rsidR="001C2F49" w:rsidRPr="00C84704" w:rsidRDefault="001C2F49" w:rsidP="001C2F49">
      <w:pPr>
        <w:rPr>
          <w:rFonts w:ascii="Calibri" w:hAnsi="Calibri" w:cs="Calibri"/>
          <w:b/>
          <w:i/>
        </w:rPr>
      </w:pPr>
      <w:r w:rsidRPr="00C84704">
        <w:rPr>
          <w:rFonts w:ascii="Calibri" w:hAnsi="Calibri" w:cs="Calibri"/>
          <w:b/>
        </w:rPr>
        <w:t>Section 1 –</w:t>
      </w:r>
      <w:r w:rsidRPr="00C84704">
        <w:rPr>
          <w:rFonts w:ascii="Calibri" w:hAnsi="Calibri" w:cs="Calibri"/>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1C2F49" w:rsidRPr="00C84704" w14:paraId="04401B17" w14:textId="77777777" w:rsidTr="00925588">
        <w:tc>
          <w:tcPr>
            <w:tcW w:w="3227" w:type="dxa"/>
            <w:shd w:val="clear" w:color="auto" w:fill="F2F2F2" w:themeFill="background1" w:themeFillShade="F2"/>
          </w:tcPr>
          <w:p w14:paraId="5AB261AD" w14:textId="09D326C0" w:rsidR="001C2F49" w:rsidRPr="00C84704" w:rsidRDefault="001C2F49" w:rsidP="00485CAE">
            <w:pPr>
              <w:rPr>
                <w:rFonts w:ascii="Calibri" w:hAnsi="Calibri" w:cs="Calibri"/>
                <w:b/>
              </w:rPr>
            </w:pPr>
            <w:r w:rsidRPr="00C84704">
              <w:rPr>
                <w:rFonts w:ascii="Calibri" w:hAnsi="Calibri" w:cs="Calibri"/>
                <w:b/>
              </w:rPr>
              <w:t xml:space="preserve">First Supervisor </w:t>
            </w:r>
          </w:p>
        </w:tc>
        <w:tc>
          <w:tcPr>
            <w:tcW w:w="5807" w:type="dxa"/>
          </w:tcPr>
          <w:p w14:paraId="085A1E11" w14:textId="2F39FEBB" w:rsidR="001C2F49" w:rsidRPr="00C84704" w:rsidRDefault="00564FDF" w:rsidP="001C2F49">
            <w:pPr>
              <w:rPr>
                <w:rFonts w:ascii="Calibri" w:hAnsi="Calibri" w:cs="Calibri"/>
              </w:rPr>
            </w:pPr>
            <w:r>
              <w:rPr>
                <w:rFonts w:ascii="Calibri" w:hAnsi="Calibri" w:cs="Calibri"/>
              </w:rPr>
              <w:t xml:space="preserve">Dr </w:t>
            </w:r>
            <w:r w:rsidR="00A93C80" w:rsidRPr="00C84704">
              <w:rPr>
                <w:rFonts w:ascii="Calibri" w:hAnsi="Calibri" w:cs="Calibri"/>
              </w:rPr>
              <w:t>Nigel Bannister</w:t>
            </w:r>
          </w:p>
        </w:tc>
      </w:tr>
      <w:tr w:rsidR="001C2F49" w:rsidRPr="00C84704" w14:paraId="14754346" w14:textId="77777777" w:rsidTr="00925588">
        <w:tc>
          <w:tcPr>
            <w:tcW w:w="3227" w:type="dxa"/>
            <w:shd w:val="clear" w:color="auto" w:fill="F2F2F2" w:themeFill="background1" w:themeFillShade="F2"/>
          </w:tcPr>
          <w:p w14:paraId="2A5BFB94" w14:textId="77777777" w:rsidR="001C2F49" w:rsidRPr="00C84704" w:rsidRDefault="001C2F49" w:rsidP="001C2F49">
            <w:pPr>
              <w:rPr>
                <w:rFonts w:ascii="Calibri" w:hAnsi="Calibri" w:cs="Calibri"/>
                <w:b/>
              </w:rPr>
            </w:pPr>
            <w:r w:rsidRPr="00C84704">
              <w:rPr>
                <w:rFonts w:ascii="Calibri" w:hAnsi="Calibri" w:cs="Calibri"/>
                <w:b/>
              </w:rPr>
              <w:t>School/Department</w:t>
            </w:r>
          </w:p>
        </w:tc>
        <w:tc>
          <w:tcPr>
            <w:tcW w:w="5807" w:type="dxa"/>
          </w:tcPr>
          <w:p w14:paraId="25CF156A" w14:textId="2F0A3B46" w:rsidR="001C2F49" w:rsidRPr="00C84704" w:rsidRDefault="00A93C80" w:rsidP="001C2F49">
            <w:pPr>
              <w:rPr>
                <w:rFonts w:ascii="Calibri" w:hAnsi="Calibri" w:cs="Calibri"/>
              </w:rPr>
            </w:pPr>
            <w:r w:rsidRPr="00C84704">
              <w:rPr>
                <w:rFonts w:ascii="Calibri" w:hAnsi="Calibri" w:cs="Calibri"/>
              </w:rPr>
              <w:t>School of Physics &amp; Astronomy</w:t>
            </w:r>
          </w:p>
        </w:tc>
      </w:tr>
      <w:tr w:rsidR="00485CAE" w:rsidRPr="00C84704" w14:paraId="0D5232DA" w14:textId="77777777" w:rsidTr="00A55550">
        <w:tc>
          <w:tcPr>
            <w:tcW w:w="3227" w:type="dxa"/>
            <w:shd w:val="clear" w:color="auto" w:fill="F2F2F2" w:themeFill="background1" w:themeFillShade="F2"/>
          </w:tcPr>
          <w:p w14:paraId="71A29E02" w14:textId="77777777" w:rsidR="00485CAE" w:rsidRPr="00C84704" w:rsidRDefault="00485CAE" w:rsidP="001C2F49">
            <w:pPr>
              <w:rPr>
                <w:rFonts w:ascii="Calibri" w:hAnsi="Calibri" w:cs="Calibri"/>
                <w:b/>
              </w:rPr>
            </w:pPr>
            <w:r w:rsidRPr="00C84704">
              <w:rPr>
                <w:rFonts w:ascii="Calibri" w:hAnsi="Calibri" w:cs="Calibri"/>
                <w:b/>
              </w:rPr>
              <w:t xml:space="preserve">Email </w:t>
            </w:r>
          </w:p>
        </w:tc>
        <w:tc>
          <w:tcPr>
            <w:tcW w:w="5807" w:type="dxa"/>
          </w:tcPr>
          <w:p w14:paraId="39B26ED2" w14:textId="1F4382B6" w:rsidR="00485CAE" w:rsidRPr="00C84704" w:rsidRDefault="0024509D" w:rsidP="001C2F49">
            <w:pPr>
              <w:rPr>
                <w:rFonts w:ascii="Calibri" w:hAnsi="Calibri" w:cs="Calibri"/>
              </w:rPr>
            </w:pPr>
            <w:hyperlink r:id="rId8" w:history="1">
              <w:r w:rsidR="00485CAE" w:rsidRPr="009C0D8A">
                <w:rPr>
                  <w:rStyle w:val="Hyperlink"/>
                  <w:rFonts w:ascii="Calibri" w:hAnsi="Calibri" w:cs="Calibri"/>
                </w:rPr>
                <w:t>nb101@le.ac.uk</w:t>
              </w:r>
            </w:hyperlink>
            <w:r w:rsidR="00485CAE">
              <w:rPr>
                <w:rFonts w:ascii="Calibri" w:hAnsi="Calibri" w:cs="Calibri"/>
              </w:rPr>
              <w:t xml:space="preserve"> </w:t>
            </w:r>
          </w:p>
        </w:tc>
      </w:tr>
    </w:tbl>
    <w:p w14:paraId="3B5B391C" w14:textId="77777777" w:rsidR="001C2F49" w:rsidRPr="00C84704" w:rsidRDefault="001C2F49" w:rsidP="001C2F49">
      <w:pPr>
        <w:rPr>
          <w:rFonts w:ascii="Calibri" w:hAnsi="Calibri" w:cs="Calibri"/>
        </w:rPr>
      </w:pPr>
    </w:p>
    <w:tbl>
      <w:tblPr>
        <w:tblStyle w:val="TableGrid"/>
        <w:tblW w:w="9034" w:type="dxa"/>
        <w:tblLayout w:type="fixed"/>
        <w:tblLook w:val="04A0" w:firstRow="1" w:lastRow="0" w:firstColumn="1" w:lastColumn="0" w:noHBand="0" w:noVBand="1"/>
      </w:tblPr>
      <w:tblGrid>
        <w:gridCol w:w="2972"/>
        <w:gridCol w:w="6062"/>
      </w:tblGrid>
      <w:tr w:rsidR="001C2F49" w:rsidRPr="00C84704" w14:paraId="5AF31895" w14:textId="77777777" w:rsidTr="00C84704">
        <w:tc>
          <w:tcPr>
            <w:tcW w:w="2972" w:type="dxa"/>
            <w:shd w:val="clear" w:color="auto" w:fill="F2F2F2" w:themeFill="background1" w:themeFillShade="F2"/>
          </w:tcPr>
          <w:p w14:paraId="35AAB3C0" w14:textId="77777777" w:rsidR="001C2F49" w:rsidRPr="00C84704" w:rsidRDefault="001C2F49" w:rsidP="001C2F49">
            <w:pPr>
              <w:rPr>
                <w:rFonts w:ascii="Calibri" w:hAnsi="Calibri" w:cs="Calibri"/>
                <w:b/>
              </w:rPr>
            </w:pPr>
            <w:r w:rsidRPr="00C84704">
              <w:rPr>
                <w:rFonts w:ascii="Calibri" w:hAnsi="Calibri" w:cs="Calibri"/>
                <w:b/>
              </w:rPr>
              <w:t>Proposed Second Supervisor</w:t>
            </w:r>
          </w:p>
        </w:tc>
        <w:tc>
          <w:tcPr>
            <w:tcW w:w="6062" w:type="dxa"/>
          </w:tcPr>
          <w:p w14:paraId="70BE98A6" w14:textId="6DDDEC0C" w:rsidR="001C2F49" w:rsidRPr="00C84704" w:rsidRDefault="00A93C80" w:rsidP="001C2F49">
            <w:pPr>
              <w:rPr>
                <w:rFonts w:ascii="Calibri" w:hAnsi="Calibri" w:cs="Calibri"/>
              </w:rPr>
            </w:pPr>
            <w:r w:rsidRPr="00C84704">
              <w:rPr>
                <w:rFonts w:ascii="Calibri" w:hAnsi="Calibri" w:cs="Calibri"/>
              </w:rPr>
              <w:t>John Panneerselvam</w:t>
            </w:r>
          </w:p>
        </w:tc>
      </w:tr>
      <w:tr w:rsidR="001C2F49" w:rsidRPr="00C84704" w14:paraId="15EF9CCA" w14:textId="77777777" w:rsidTr="00485CAE">
        <w:tc>
          <w:tcPr>
            <w:tcW w:w="2972" w:type="dxa"/>
            <w:shd w:val="clear" w:color="auto" w:fill="F2F2F2" w:themeFill="background1" w:themeFillShade="F2"/>
          </w:tcPr>
          <w:p w14:paraId="61816D0D" w14:textId="77777777" w:rsidR="001C2F49" w:rsidRPr="00C84704" w:rsidRDefault="001C2F49" w:rsidP="001C2F49">
            <w:pPr>
              <w:rPr>
                <w:rFonts w:ascii="Calibri" w:hAnsi="Calibri" w:cs="Calibri"/>
                <w:b/>
              </w:rPr>
            </w:pPr>
            <w:r w:rsidRPr="00C84704">
              <w:rPr>
                <w:rFonts w:ascii="Calibri" w:hAnsi="Calibri" w:cs="Calibri"/>
                <w:b/>
              </w:rPr>
              <w:t>Additional Supervisor</w:t>
            </w:r>
          </w:p>
        </w:tc>
        <w:tc>
          <w:tcPr>
            <w:tcW w:w="6062" w:type="dxa"/>
          </w:tcPr>
          <w:p w14:paraId="3D418748" w14:textId="6E48C1BC" w:rsidR="001C2F49" w:rsidRPr="00C84704" w:rsidRDefault="00A93C80" w:rsidP="001C2F49">
            <w:pPr>
              <w:rPr>
                <w:rFonts w:ascii="Calibri" w:hAnsi="Calibri" w:cs="Calibri"/>
              </w:rPr>
            </w:pPr>
            <w:r w:rsidRPr="00C84704">
              <w:rPr>
                <w:rFonts w:ascii="Calibri" w:hAnsi="Calibri" w:cs="Calibri"/>
              </w:rPr>
              <w:t>Dr Mariano</w:t>
            </w:r>
            <w:r w:rsidR="00233054" w:rsidRPr="00C84704">
              <w:rPr>
                <w:rFonts w:ascii="Calibri" w:hAnsi="Calibri" w:cs="Calibri"/>
              </w:rPr>
              <w:t xml:space="preserve"> Alvarez Bianco (Siemens)</w:t>
            </w:r>
          </w:p>
        </w:tc>
      </w:tr>
    </w:tbl>
    <w:p w14:paraId="5832E9B0" w14:textId="77777777" w:rsidR="001C2F49" w:rsidRPr="00C84704" w:rsidRDefault="001C2F49" w:rsidP="001C2F49">
      <w:pPr>
        <w:rPr>
          <w:rFonts w:ascii="Calibri" w:hAnsi="Calibri" w:cs="Calibri"/>
          <w:b/>
          <w:u w:val="single"/>
        </w:rPr>
      </w:pPr>
    </w:p>
    <w:p w14:paraId="343BF4E2" w14:textId="77777777" w:rsidR="001C2F49" w:rsidRPr="00C84704" w:rsidRDefault="001C2F49" w:rsidP="001C2F49">
      <w:pPr>
        <w:rPr>
          <w:rFonts w:ascii="Calibri" w:hAnsi="Calibri" w:cs="Calibri"/>
          <w:b/>
          <w:i/>
        </w:rPr>
      </w:pPr>
      <w:r w:rsidRPr="00C84704">
        <w:rPr>
          <w:rFonts w:ascii="Calibri" w:hAnsi="Calibri" w:cs="Calibri"/>
          <w:b/>
        </w:rPr>
        <w:t xml:space="preserve">Section 2 – </w:t>
      </w:r>
      <w:r w:rsidRPr="00C84704">
        <w:rPr>
          <w:rFonts w:ascii="Calibri" w:hAnsi="Calibri" w:cs="Calibri"/>
          <w:b/>
          <w:i/>
        </w:rPr>
        <w:t>Project Information</w:t>
      </w:r>
    </w:p>
    <w:tbl>
      <w:tblPr>
        <w:tblStyle w:val="TableGrid"/>
        <w:tblW w:w="0" w:type="auto"/>
        <w:tblLook w:val="04A0" w:firstRow="1" w:lastRow="0" w:firstColumn="1" w:lastColumn="0" w:noHBand="0" w:noVBand="1"/>
      </w:tblPr>
      <w:tblGrid>
        <w:gridCol w:w="1980"/>
        <w:gridCol w:w="425"/>
        <w:gridCol w:w="6611"/>
      </w:tblGrid>
      <w:tr w:rsidR="001C2F49" w:rsidRPr="00C84704" w14:paraId="638F6E04" w14:textId="77777777" w:rsidTr="00925588">
        <w:tc>
          <w:tcPr>
            <w:tcW w:w="1980" w:type="dxa"/>
            <w:shd w:val="clear" w:color="auto" w:fill="F2F2F2" w:themeFill="background1" w:themeFillShade="F2"/>
          </w:tcPr>
          <w:p w14:paraId="7B2E43CF" w14:textId="77777777" w:rsidR="001C2F49" w:rsidRPr="00C84704" w:rsidRDefault="001C2F49" w:rsidP="001C2F49">
            <w:pPr>
              <w:rPr>
                <w:rFonts w:ascii="Calibri" w:hAnsi="Calibri" w:cs="Calibri"/>
                <w:b/>
              </w:rPr>
            </w:pPr>
            <w:r w:rsidRPr="00C84704">
              <w:rPr>
                <w:rFonts w:ascii="Calibri" w:hAnsi="Calibri" w:cs="Calibri"/>
                <w:b/>
              </w:rPr>
              <w:t>Project Title</w:t>
            </w:r>
          </w:p>
          <w:p w14:paraId="38EC67DE" w14:textId="77777777" w:rsidR="001C2F49" w:rsidRPr="00C84704" w:rsidRDefault="001C2F49" w:rsidP="001C2F49">
            <w:pPr>
              <w:rPr>
                <w:rFonts w:ascii="Calibri" w:hAnsi="Calibri" w:cs="Calibri"/>
                <w:b/>
              </w:rPr>
            </w:pPr>
          </w:p>
        </w:tc>
        <w:tc>
          <w:tcPr>
            <w:tcW w:w="7036" w:type="dxa"/>
            <w:gridSpan w:val="2"/>
          </w:tcPr>
          <w:p w14:paraId="6059794D" w14:textId="7DC9ED31" w:rsidR="001C2F49" w:rsidRPr="00C84704" w:rsidRDefault="00A93C80" w:rsidP="00A93C80">
            <w:pPr>
              <w:pStyle w:val="NormalWeb"/>
              <w:rPr>
                <w:rFonts w:ascii="Calibri" w:hAnsi="Calibri" w:cs="Calibri"/>
                <w:sz w:val="22"/>
                <w:szCs w:val="22"/>
              </w:rPr>
            </w:pPr>
            <w:r w:rsidRPr="00C84704">
              <w:rPr>
                <w:rFonts w:ascii="Calibri" w:hAnsi="Calibri" w:cs="Calibri"/>
                <w:sz w:val="22"/>
                <w:szCs w:val="22"/>
              </w:rPr>
              <w:t>Model Based Concurrent Engineering: Pre-Phase-A Concept to Digital Twin</w:t>
            </w:r>
          </w:p>
        </w:tc>
      </w:tr>
      <w:tr w:rsidR="001C2F49" w:rsidRPr="00C84704" w14:paraId="6AE595EF" w14:textId="77777777" w:rsidTr="00925588">
        <w:tc>
          <w:tcPr>
            <w:tcW w:w="1980" w:type="dxa"/>
            <w:vMerge w:val="restart"/>
            <w:shd w:val="clear" w:color="auto" w:fill="F2F2F2" w:themeFill="background1" w:themeFillShade="F2"/>
          </w:tcPr>
          <w:p w14:paraId="107C70A3" w14:textId="77777777" w:rsidR="001C2F49" w:rsidRPr="00C84704" w:rsidRDefault="001C2F49" w:rsidP="001C2F49">
            <w:pPr>
              <w:rPr>
                <w:rFonts w:ascii="Calibri" w:hAnsi="Calibri" w:cs="Calibri"/>
                <w:b/>
              </w:rPr>
            </w:pPr>
            <w:r w:rsidRPr="00C84704">
              <w:rPr>
                <w:rFonts w:ascii="Calibri" w:hAnsi="Calibri" w:cs="Calibri"/>
                <w:b/>
              </w:rPr>
              <w:t>Project Highlights:</w:t>
            </w:r>
          </w:p>
        </w:tc>
        <w:tc>
          <w:tcPr>
            <w:tcW w:w="425" w:type="dxa"/>
            <w:shd w:val="clear" w:color="auto" w:fill="F2F2F2" w:themeFill="background1" w:themeFillShade="F2"/>
          </w:tcPr>
          <w:p w14:paraId="10F9E73F" w14:textId="77777777" w:rsidR="001C2F49" w:rsidRPr="00C84704" w:rsidRDefault="001C2F49" w:rsidP="001C2F49">
            <w:pPr>
              <w:rPr>
                <w:rFonts w:ascii="Calibri" w:hAnsi="Calibri" w:cs="Calibri"/>
              </w:rPr>
            </w:pPr>
            <w:r w:rsidRPr="00C84704">
              <w:rPr>
                <w:rFonts w:ascii="Calibri" w:hAnsi="Calibri" w:cs="Calibri"/>
              </w:rPr>
              <w:t>1.</w:t>
            </w:r>
          </w:p>
        </w:tc>
        <w:tc>
          <w:tcPr>
            <w:tcW w:w="6611" w:type="dxa"/>
          </w:tcPr>
          <w:p w14:paraId="5E29210B" w14:textId="02AD3D1C" w:rsidR="001C2F49" w:rsidRPr="00C84704" w:rsidRDefault="008E157E" w:rsidP="001C2F49">
            <w:pPr>
              <w:rPr>
                <w:rFonts w:ascii="Calibri" w:hAnsi="Calibri" w:cs="Calibri"/>
              </w:rPr>
            </w:pPr>
            <w:r w:rsidRPr="00C84704">
              <w:rPr>
                <w:rFonts w:ascii="Calibri" w:hAnsi="Calibri" w:cs="Calibri"/>
              </w:rPr>
              <w:t>Proving a new type of mission design capability based around open-source tools, enabling rapid and efficient optimisation and validation of spacecraft and trajectory design.</w:t>
            </w:r>
          </w:p>
        </w:tc>
      </w:tr>
      <w:tr w:rsidR="00FF2217" w:rsidRPr="00C84704" w14:paraId="6B6991E9" w14:textId="77777777" w:rsidTr="00925588">
        <w:tc>
          <w:tcPr>
            <w:tcW w:w="1980" w:type="dxa"/>
            <w:vMerge/>
            <w:shd w:val="clear" w:color="auto" w:fill="F2F2F2" w:themeFill="background1" w:themeFillShade="F2"/>
          </w:tcPr>
          <w:p w14:paraId="04B5E418" w14:textId="77777777" w:rsidR="00FF2217" w:rsidRPr="00C84704" w:rsidRDefault="00FF2217" w:rsidP="00FF2217">
            <w:pPr>
              <w:rPr>
                <w:rFonts w:ascii="Calibri" w:hAnsi="Calibri" w:cs="Calibri"/>
                <w:b/>
              </w:rPr>
            </w:pPr>
          </w:p>
        </w:tc>
        <w:tc>
          <w:tcPr>
            <w:tcW w:w="425" w:type="dxa"/>
            <w:shd w:val="clear" w:color="auto" w:fill="F2F2F2" w:themeFill="background1" w:themeFillShade="F2"/>
          </w:tcPr>
          <w:p w14:paraId="50FC2058" w14:textId="77777777" w:rsidR="00FF2217" w:rsidRPr="00C84704" w:rsidRDefault="00FF2217" w:rsidP="00FF2217">
            <w:pPr>
              <w:rPr>
                <w:rFonts w:ascii="Calibri" w:hAnsi="Calibri" w:cs="Calibri"/>
              </w:rPr>
            </w:pPr>
            <w:r w:rsidRPr="00C84704">
              <w:rPr>
                <w:rFonts w:ascii="Calibri" w:hAnsi="Calibri" w:cs="Calibri"/>
              </w:rPr>
              <w:t>2.</w:t>
            </w:r>
          </w:p>
        </w:tc>
        <w:tc>
          <w:tcPr>
            <w:tcW w:w="6611" w:type="dxa"/>
          </w:tcPr>
          <w:p w14:paraId="7371AF93" w14:textId="35130207" w:rsidR="00FF2217" w:rsidRPr="00C84704" w:rsidRDefault="00FF2217" w:rsidP="00FF2217">
            <w:pPr>
              <w:rPr>
                <w:rFonts w:ascii="Calibri" w:hAnsi="Calibri" w:cs="Calibri"/>
              </w:rPr>
            </w:pPr>
            <w:r w:rsidRPr="00C84704">
              <w:rPr>
                <w:rFonts w:ascii="Calibri" w:hAnsi="Calibri" w:cs="Calibri"/>
              </w:rPr>
              <w:t xml:space="preserve">Demonstration of </w:t>
            </w:r>
            <w:r w:rsidR="008E157E" w:rsidRPr="00C84704">
              <w:rPr>
                <w:rFonts w:ascii="Calibri" w:hAnsi="Calibri" w:cs="Calibri"/>
              </w:rPr>
              <w:t xml:space="preserve">significant new functionality </w:t>
            </w:r>
            <w:r w:rsidRPr="00C84704">
              <w:rPr>
                <w:rFonts w:ascii="Calibri" w:hAnsi="Calibri" w:cs="Calibri"/>
              </w:rPr>
              <w:t>deployed within the SPL CDF environment and attracting significant ESA interest</w:t>
            </w:r>
          </w:p>
        </w:tc>
      </w:tr>
      <w:tr w:rsidR="00FF2217" w:rsidRPr="00C84704" w14:paraId="68510787" w14:textId="77777777" w:rsidTr="00925588">
        <w:tc>
          <w:tcPr>
            <w:tcW w:w="1980" w:type="dxa"/>
            <w:vMerge/>
            <w:shd w:val="clear" w:color="auto" w:fill="F2F2F2" w:themeFill="background1" w:themeFillShade="F2"/>
          </w:tcPr>
          <w:p w14:paraId="4C0F8D0F" w14:textId="77777777" w:rsidR="00FF2217" w:rsidRPr="00C84704" w:rsidRDefault="00FF2217" w:rsidP="00FF2217">
            <w:pPr>
              <w:rPr>
                <w:rFonts w:ascii="Calibri" w:hAnsi="Calibri" w:cs="Calibri"/>
                <w:b/>
              </w:rPr>
            </w:pPr>
          </w:p>
        </w:tc>
        <w:tc>
          <w:tcPr>
            <w:tcW w:w="425" w:type="dxa"/>
            <w:shd w:val="clear" w:color="auto" w:fill="F2F2F2" w:themeFill="background1" w:themeFillShade="F2"/>
          </w:tcPr>
          <w:p w14:paraId="0BA34435" w14:textId="77777777" w:rsidR="00FF2217" w:rsidRPr="00C84704" w:rsidRDefault="00FF2217" w:rsidP="00FF2217">
            <w:pPr>
              <w:rPr>
                <w:rFonts w:ascii="Calibri" w:hAnsi="Calibri" w:cs="Calibri"/>
              </w:rPr>
            </w:pPr>
            <w:r w:rsidRPr="00C84704">
              <w:rPr>
                <w:rFonts w:ascii="Calibri" w:hAnsi="Calibri" w:cs="Calibri"/>
              </w:rPr>
              <w:t>3.</w:t>
            </w:r>
          </w:p>
        </w:tc>
        <w:tc>
          <w:tcPr>
            <w:tcW w:w="6611" w:type="dxa"/>
          </w:tcPr>
          <w:p w14:paraId="117C4ADF" w14:textId="3769CF85" w:rsidR="00FF2217" w:rsidRPr="00C84704" w:rsidRDefault="00FF2217" w:rsidP="00FF2217">
            <w:pPr>
              <w:rPr>
                <w:rFonts w:ascii="Calibri" w:hAnsi="Calibri" w:cs="Calibri"/>
              </w:rPr>
            </w:pPr>
            <w:r w:rsidRPr="00C84704">
              <w:rPr>
                <w:rFonts w:ascii="Calibri" w:hAnsi="Calibri" w:cs="Calibri"/>
              </w:rPr>
              <w:t>Flight demonstration of optimised control software and digital twin capability at SPL in our first CubeSat mission (funded via Wolfson).</w:t>
            </w:r>
          </w:p>
        </w:tc>
      </w:tr>
      <w:tr w:rsidR="00FF2217" w:rsidRPr="00C84704" w14:paraId="56E819BD" w14:textId="77777777" w:rsidTr="00925588">
        <w:tc>
          <w:tcPr>
            <w:tcW w:w="9016" w:type="dxa"/>
            <w:gridSpan w:val="3"/>
            <w:shd w:val="clear" w:color="auto" w:fill="F2F2F2" w:themeFill="background1" w:themeFillShade="F2"/>
          </w:tcPr>
          <w:p w14:paraId="079AC0EE" w14:textId="5105D2C4" w:rsidR="00FF2217" w:rsidRPr="00C84704" w:rsidRDefault="00485CAE" w:rsidP="00485CAE">
            <w:pPr>
              <w:rPr>
                <w:rFonts w:ascii="Calibri" w:hAnsi="Calibri" w:cs="Calibri"/>
              </w:rPr>
            </w:pPr>
            <w:r>
              <w:rPr>
                <w:rFonts w:ascii="Calibri" w:hAnsi="Calibri" w:cs="Calibri"/>
                <w:b/>
              </w:rPr>
              <w:t xml:space="preserve">Project Overview </w:t>
            </w:r>
          </w:p>
        </w:tc>
      </w:tr>
      <w:tr w:rsidR="00FF2217" w:rsidRPr="00C84704" w14:paraId="56D7146F" w14:textId="77777777" w:rsidTr="00925588">
        <w:tc>
          <w:tcPr>
            <w:tcW w:w="9016" w:type="dxa"/>
            <w:gridSpan w:val="3"/>
          </w:tcPr>
          <w:p w14:paraId="2130591B" w14:textId="35E9DAF0" w:rsidR="00FF2217" w:rsidRPr="00C84704" w:rsidRDefault="00FF2217" w:rsidP="006D192B">
            <w:pPr>
              <w:pStyle w:val="NormalWeb"/>
              <w:jc w:val="both"/>
              <w:rPr>
                <w:rFonts w:ascii="Calibri" w:hAnsi="Calibri" w:cs="Calibri"/>
                <w:sz w:val="22"/>
                <w:szCs w:val="22"/>
              </w:rPr>
            </w:pPr>
            <w:r w:rsidRPr="00C84704">
              <w:rPr>
                <w:rFonts w:ascii="Calibri" w:eastAsiaTheme="minorHAnsi" w:hAnsi="Calibri" w:cs="Calibri"/>
                <w:sz w:val="22"/>
                <w:szCs w:val="22"/>
                <w:lang w:eastAsia="en-US"/>
              </w:rPr>
              <w:t xml:space="preserve">The objective of this project is to </w:t>
            </w:r>
            <w:r w:rsidR="008E157E" w:rsidRPr="00C84704">
              <w:rPr>
                <w:rFonts w:ascii="Calibri" w:eastAsiaTheme="minorHAnsi" w:hAnsi="Calibri" w:cs="Calibri"/>
                <w:sz w:val="22"/>
                <w:szCs w:val="22"/>
                <w:lang w:eastAsia="en-US"/>
              </w:rPr>
              <w:t>develop</w:t>
            </w:r>
            <w:r w:rsidRPr="00C84704">
              <w:rPr>
                <w:rFonts w:ascii="Calibri" w:eastAsiaTheme="minorHAnsi" w:hAnsi="Calibri" w:cs="Calibri"/>
                <w:sz w:val="22"/>
                <w:szCs w:val="22"/>
                <w:lang w:eastAsia="en-US"/>
              </w:rPr>
              <w:t xml:space="preserve"> a capability for detailed flight dynamics modelling and simulation, </w:t>
            </w:r>
            <w:r w:rsidR="008E157E" w:rsidRPr="00C84704">
              <w:rPr>
                <w:rFonts w:ascii="Calibri" w:eastAsiaTheme="minorHAnsi" w:hAnsi="Calibri" w:cs="Calibri"/>
                <w:sz w:val="22"/>
                <w:szCs w:val="22"/>
                <w:lang w:eastAsia="en-US"/>
              </w:rPr>
              <w:t xml:space="preserve">and integrate </w:t>
            </w:r>
            <w:r w:rsidRPr="00C84704">
              <w:rPr>
                <w:rFonts w:ascii="Calibri" w:eastAsiaTheme="minorHAnsi" w:hAnsi="Calibri" w:cs="Calibri"/>
                <w:sz w:val="22"/>
                <w:szCs w:val="22"/>
                <w:lang w:eastAsia="en-US"/>
              </w:rPr>
              <w:t xml:space="preserve">within the recently completed Concurrent Design Facility at Space Park Leicester (running ESA’s Open Concurrent Design Tool, OCDT, and Siemens NX). The project will demonstrate the use of trajectories designed using nonlinear optimisation methods, and attitude control laws implemented in a simulated onboard processor environment, to assess thermal, power and communications subsystem design requirements in order to meet a set of scientific, commercial and/or technology proof-of-concept requirements. The outputs will demonstrate the formalized application of modelling to support system requirements, design, analysis, verification and validation activities beginning in the conceptual design phase and continuing throughout development and later life cycle phases. In </w:t>
            </w:r>
            <w:proofErr w:type="gramStart"/>
            <w:r w:rsidRPr="00C84704">
              <w:rPr>
                <w:rFonts w:ascii="Calibri" w:eastAsiaTheme="minorHAnsi" w:hAnsi="Calibri" w:cs="Calibri"/>
                <w:sz w:val="22"/>
                <w:szCs w:val="22"/>
                <w:lang w:eastAsia="en-US"/>
              </w:rPr>
              <w:t>particular</w:t>
            </w:r>
            <w:proofErr w:type="gramEnd"/>
            <w:r w:rsidRPr="00C84704">
              <w:rPr>
                <w:rFonts w:ascii="Calibri" w:eastAsiaTheme="minorHAnsi" w:hAnsi="Calibri" w:cs="Calibri"/>
                <w:sz w:val="22"/>
                <w:szCs w:val="22"/>
                <w:lang w:eastAsia="en-US"/>
              </w:rPr>
              <w:t xml:space="preserve"> the implementation of flight dynamics simulation will extend from the concurrent design environment into the flight software for the CubeSat mission demonstrator being developed by the Wolfson Deep Space Centre, and a corresponding digital twin for the mission. The PhD </w:t>
            </w:r>
            <w:proofErr w:type="gramStart"/>
            <w:r w:rsidRPr="00C84704">
              <w:rPr>
                <w:rFonts w:ascii="Calibri" w:eastAsiaTheme="minorHAnsi" w:hAnsi="Calibri" w:cs="Calibri"/>
                <w:sz w:val="22"/>
                <w:szCs w:val="22"/>
                <w:lang w:eastAsia="en-US"/>
              </w:rPr>
              <w:t>will be co-supported</w:t>
            </w:r>
            <w:proofErr w:type="gramEnd"/>
            <w:r w:rsidRPr="00C84704">
              <w:rPr>
                <w:rFonts w:ascii="Calibri" w:eastAsiaTheme="minorHAnsi" w:hAnsi="Calibri" w:cs="Calibri"/>
                <w:sz w:val="22"/>
                <w:szCs w:val="22"/>
                <w:lang w:eastAsia="en-US"/>
              </w:rPr>
              <w:t xml:space="preserve"> by Siemens who are experts in model based concurrent engineering approaches. Their software solutions (</w:t>
            </w:r>
            <w:proofErr w:type="spellStart"/>
            <w:r w:rsidRPr="00C84704">
              <w:rPr>
                <w:rFonts w:ascii="Calibri" w:eastAsiaTheme="minorHAnsi" w:hAnsi="Calibri" w:cs="Calibri"/>
                <w:sz w:val="22"/>
                <w:szCs w:val="22"/>
                <w:lang w:eastAsia="en-US"/>
              </w:rPr>
              <w:t>e.g</w:t>
            </w:r>
            <w:proofErr w:type="spellEnd"/>
            <w:r w:rsidRPr="00C84704">
              <w:rPr>
                <w:rFonts w:ascii="Calibri" w:eastAsiaTheme="minorHAnsi" w:hAnsi="Calibri" w:cs="Calibri"/>
                <w:sz w:val="22"/>
                <w:szCs w:val="22"/>
                <w:lang w:eastAsia="en-US"/>
              </w:rPr>
              <w:t xml:space="preserve"> Siemens NX) are already intrinsic to the engineering infrastructure at Space Park Leicester. They are already collaborating with ESA in the next update to their Open Concurrent Design Tool. Through the University’s </w:t>
            </w:r>
            <w:proofErr w:type="spellStart"/>
            <w:r w:rsidRPr="00C84704">
              <w:rPr>
                <w:rFonts w:ascii="Calibri" w:eastAsiaTheme="minorHAnsi" w:hAnsi="Calibri" w:cs="Calibri"/>
                <w:sz w:val="22"/>
                <w:szCs w:val="22"/>
                <w:lang w:eastAsia="en-US"/>
              </w:rPr>
              <w:t>ESA_Lab@Leicester</w:t>
            </w:r>
            <w:proofErr w:type="spellEnd"/>
            <w:r w:rsidRPr="00C84704">
              <w:rPr>
                <w:rFonts w:ascii="Calibri" w:eastAsiaTheme="minorHAnsi" w:hAnsi="Calibri" w:cs="Calibri"/>
                <w:sz w:val="22"/>
                <w:szCs w:val="22"/>
                <w:lang w:eastAsia="en-US"/>
              </w:rPr>
              <w:t xml:space="preserve"> project, collaboration with subject experts at the European Space Agency </w:t>
            </w:r>
            <w:proofErr w:type="gramStart"/>
            <w:r w:rsidRPr="00C84704">
              <w:rPr>
                <w:rFonts w:ascii="Calibri" w:eastAsiaTheme="minorHAnsi" w:hAnsi="Calibri" w:cs="Calibri"/>
                <w:sz w:val="22"/>
                <w:szCs w:val="22"/>
                <w:lang w:eastAsia="en-US"/>
              </w:rPr>
              <w:t>is anticipated</w:t>
            </w:r>
            <w:proofErr w:type="gramEnd"/>
            <w:r w:rsidRPr="00C84704">
              <w:rPr>
                <w:rFonts w:ascii="Calibri" w:eastAsiaTheme="minorHAnsi" w:hAnsi="Calibri" w:cs="Calibri"/>
                <w:sz w:val="22"/>
                <w:szCs w:val="22"/>
                <w:lang w:eastAsia="en-US"/>
              </w:rPr>
              <w:t>, and additional requirements and objectives may emerge during the course of the project.</w:t>
            </w:r>
            <w:r w:rsidRPr="00C84704">
              <w:rPr>
                <w:rFonts w:ascii="Calibri" w:hAnsi="Calibri" w:cs="Calibri"/>
                <w:sz w:val="22"/>
                <w:szCs w:val="22"/>
              </w:rPr>
              <w:t xml:space="preserve"> </w:t>
            </w:r>
          </w:p>
        </w:tc>
      </w:tr>
      <w:tr w:rsidR="00FF2217" w:rsidRPr="00C84704" w14:paraId="3AB132F9" w14:textId="77777777" w:rsidTr="00925588">
        <w:tc>
          <w:tcPr>
            <w:tcW w:w="9016" w:type="dxa"/>
            <w:gridSpan w:val="3"/>
            <w:shd w:val="clear" w:color="auto" w:fill="F2F2F2" w:themeFill="background1" w:themeFillShade="F2"/>
          </w:tcPr>
          <w:p w14:paraId="1437C5F0" w14:textId="2D84EDB2" w:rsidR="00FF2217" w:rsidRPr="00C84704" w:rsidRDefault="00485CAE" w:rsidP="00485CAE">
            <w:pPr>
              <w:rPr>
                <w:rFonts w:ascii="Calibri" w:hAnsi="Calibri" w:cs="Calibri"/>
                <w:b/>
              </w:rPr>
            </w:pPr>
            <w:r>
              <w:rPr>
                <w:rFonts w:ascii="Calibri" w:hAnsi="Calibri" w:cs="Calibri"/>
                <w:b/>
              </w:rPr>
              <w:t xml:space="preserve">Methodology </w:t>
            </w:r>
            <w:r w:rsidR="00FF2217" w:rsidRPr="00C84704">
              <w:rPr>
                <w:rFonts w:ascii="Calibri" w:hAnsi="Calibri" w:cs="Calibri"/>
                <w:b/>
              </w:rPr>
              <w:t xml:space="preserve"> </w:t>
            </w:r>
          </w:p>
        </w:tc>
      </w:tr>
      <w:tr w:rsidR="00FF2217" w:rsidRPr="00C84704" w14:paraId="21F6EC09" w14:textId="77777777" w:rsidTr="00925588">
        <w:tc>
          <w:tcPr>
            <w:tcW w:w="9016" w:type="dxa"/>
            <w:gridSpan w:val="3"/>
            <w:tcBorders>
              <w:bottom w:val="single" w:sz="4" w:space="0" w:color="auto"/>
            </w:tcBorders>
          </w:tcPr>
          <w:p w14:paraId="1B769FC6" w14:textId="328F31A5" w:rsidR="00FF2217" w:rsidRPr="00C84704" w:rsidRDefault="00FF2217" w:rsidP="00FF2217">
            <w:pPr>
              <w:rPr>
                <w:rFonts w:ascii="Calibri" w:hAnsi="Calibri" w:cs="Calibri"/>
              </w:rPr>
            </w:pPr>
            <w:r w:rsidRPr="00C84704">
              <w:rPr>
                <w:rFonts w:ascii="Calibri" w:hAnsi="Calibri" w:cs="Calibri"/>
              </w:rPr>
              <w:t xml:space="preserve">A current </w:t>
            </w:r>
            <w:r w:rsidR="00EB1D01">
              <w:rPr>
                <w:rFonts w:ascii="Calibri" w:hAnsi="Calibri" w:cs="Calibri"/>
              </w:rPr>
              <w:t xml:space="preserve">PhD </w:t>
            </w:r>
            <w:r w:rsidRPr="00C84704">
              <w:rPr>
                <w:rFonts w:ascii="Calibri" w:hAnsi="Calibri" w:cs="Calibri"/>
              </w:rPr>
              <w:t>programme has demonstrated trajectory design using nonlinear optimisation, and interfacing of astrodynamics models with CAD and FEA tools. This project extends that work to demonstrate automated thermal analysis for complex, multi-phase trajectories, with the potential for thermal optimisation for future missions. It then adds attitude dynamics</w:t>
            </w:r>
            <w:r w:rsidR="00EB1D01">
              <w:rPr>
                <w:rFonts w:ascii="Calibri" w:hAnsi="Calibri" w:cs="Calibri"/>
              </w:rPr>
              <w:t>,</w:t>
            </w:r>
            <w:r w:rsidRPr="00C84704">
              <w:rPr>
                <w:rFonts w:ascii="Calibri" w:hAnsi="Calibri" w:cs="Calibri"/>
              </w:rPr>
              <w:t xml:space="preserve"> integrating NASA’s 42 code into the CDF, building on preliminary work conducted </w:t>
            </w:r>
            <w:r w:rsidR="00277298">
              <w:rPr>
                <w:rFonts w:ascii="Calibri" w:hAnsi="Calibri" w:cs="Calibri"/>
              </w:rPr>
              <w:t>previously</w:t>
            </w:r>
            <w:r w:rsidRPr="00C84704">
              <w:rPr>
                <w:rFonts w:ascii="Calibri" w:hAnsi="Calibri" w:cs="Calibri"/>
              </w:rPr>
              <w:t xml:space="preserve">. Mission attitude control requirements will be modelled, and optimised control laws designed using the application of AI techniques via the HEEDS layer, leading to an end-to-end mission simulation and optimisation capability, and validation of flight control software ready for direct integration into the spacecraft onboard computer and corresponding digital twin, and flight testing in the Wolfson Centre’s first CubeSat mission. </w:t>
            </w:r>
          </w:p>
          <w:p w14:paraId="0A73C6B0" w14:textId="77777777" w:rsidR="00C147DA" w:rsidRPr="00C84704" w:rsidRDefault="00C147DA" w:rsidP="00FF2217">
            <w:pPr>
              <w:rPr>
                <w:rFonts w:ascii="Calibri" w:hAnsi="Calibri" w:cs="Calibri"/>
              </w:rPr>
            </w:pPr>
          </w:p>
          <w:p w14:paraId="2BC8019B" w14:textId="5A059CEB" w:rsidR="00C147DA" w:rsidRPr="00485CAE" w:rsidRDefault="00C147DA" w:rsidP="00FF2217">
            <w:pPr>
              <w:rPr>
                <w:rFonts w:ascii="Calibri" w:hAnsi="Calibri" w:cs="Calibri"/>
                <w:b/>
              </w:rPr>
            </w:pPr>
            <w:r w:rsidRPr="00485CAE">
              <w:rPr>
                <w:rFonts w:ascii="Calibri" w:hAnsi="Calibri" w:cs="Calibri"/>
                <w:b/>
              </w:rPr>
              <w:lastRenderedPageBreak/>
              <w:t>References</w:t>
            </w:r>
          </w:p>
          <w:p w14:paraId="2461D20B" w14:textId="64C2CE48" w:rsidR="00C147DA" w:rsidRDefault="00C147DA" w:rsidP="00FF2217">
            <w:pPr>
              <w:rPr>
                <w:rFonts w:ascii="Calibri" w:hAnsi="Calibri" w:cs="Calibri"/>
              </w:rPr>
            </w:pPr>
          </w:p>
          <w:p w14:paraId="6059D403" w14:textId="0FEAA303" w:rsidR="00CE3CAD" w:rsidRDefault="00CE3CAD" w:rsidP="00FF2217">
            <w:pPr>
              <w:rPr>
                <w:rFonts w:ascii="Calibri" w:hAnsi="Calibri" w:cs="Calibri"/>
              </w:rPr>
            </w:pPr>
            <w:r w:rsidRPr="00CE3CAD">
              <w:rPr>
                <w:rFonts w:ascii="Calibri" w:hAnsi="Calibri" w:cs="Calibri"/>
              </w:rPr>
              <w:t>Value and benefits of model-based systems engineering (MBSE): Evidence from the literature</w:t>
            </w:r>
          </w:p>
          <w:p w14:paraId="207092F3" w14:textId="6F1A55C8" w:rsidR="00921876" w:rsidRDefault="00921876" w:rsidP="00FF2217">
            <w:pPr>
              <w:rPr>
                <w:rFonts w:ascii="Calibri" w:hAnsi="Calibri" w:cs="Calibri"/>
              </w:rPr>
            </w:pPr>
            <w:r w:rsidRPr="00921876">
              <w:rPr>
                <w:rFonts w:ascii="Calibri" w:hAnsi="Calibri" w:cs="Calibri"/>
              </w:rPr>
              <w:t>Henderson, Kaitlin ; Salado, Alejandro</w:t>
            </w:r>
          </w:p>
          <w:p w14:paraId="00D82657" w14:textId="315DC560" w:rsidR="00921876" w:rsidRDefault="00921876" w:rsidP="00FF2217">
            <w:pPr>
              <w:rPr>
                <w:rFonts w:ascii="Calibri" w:hAnsi="Calibri" w:cs="Calibri"/>
              </w:rPr>
            </w:pPr>
            <w:r w:rsidRPr="00921876">
              <w:rPr>
                <w:rFonts w:ascii="Calibri" w:hAnsi="Calibri" w:cs="Calibri"/>
              </w:rPr>
              <w:t>Systems engineering, 2021-01, Vol.24 (1), p.51-66</w:t>
            </w:r>
          </w:p>
          <w:p w14:paraId="7569C851" w14:textId="382160BB" w:rsidR="00921876" w:rsidRDefault="00921876" w:rsidP="00FF2217">
            <w:pPr>
              <w:rPr>
                <w:rFonts w:ascii="Calibri" w:hAnsi="Calibri" w:cs="Calibri"/>
              </w:rPr>
            </w:pPr>
            <w:r w:rsidRPr="00921876">
              <w:rPr>
                <w:rFonts w:ascii="Calibri" w:hAnsi="Calibri" w:cs="Calibri"/>
              </w:rPr>
              <w:t>DOI: 10.1002/sys.21566</w:t>
            </w:r>
          </w:p>
          <w:p w14:paraId="7388AA57" w14:textId="5CFBC596" w:rsidR="00CE3CAD" w:rsidRDefault="00CE3CAD" w:rsidP="00FF2217">
            <w:pPr>
              <w:rPr>
                <w:rFonts w:ascii="Calibri" w:hAnsi="Calibri" w:cs="Calibri"/>
              </w:rPr>
            </w:pPr>
          </w:p>
          <w:p w14:paraId="41D8009B" w14:textId="44D2D2B7" w:rsidR="00CE3CAD" w:rsidRDefault="00CE3CAD" w:rsidP="00FF2217">
            <w:pPr>
              <w:rPr>
                <w:rFonts w:ascii="Calibri" w:hAnsi="Calibri" w:cs="Calibri"/>
              </w:rPr>
            </w:pPr>
            <w:r w:rsidRPr="00CE3CAD">
              <w:rPr>
                <w:rFonts w:ascii="Calibri" w:hAnsi="Calibri" w:cs="Calibri"/>
              </w:rPr>
              <w:t>Foundations for Model-based Systems Engineering: From patterns to models: From patterns to models</w:t>
            </w:r>
          </w:p>
          <w:p w14:paraId="66EA95B6" w14:textId="2AABDED1" w:rsidR="00CE3CAD" w:rsidRDefault="00CE3CAD" w:rsidP="00FF2217">
            <w:pPr>
              <w:rPr>
                <w:rFonts w:ascii="Calibri" w:hAnsi="Calibri" w:cs="Calibri"/>
              </w:rPr>
            </w:pPr>
            <w:r w:rsidRPr="00CE3CAD">
              <w:rPr>
                <w:rFonts w:ascii="Calibri" w:hAnsi="Calibri" w:cs="Calibri"/>
              </w:rPr>
              <w:t xml:space="preserve">Holt, Jon ; Perry, Simon ; </w:t>
            </w:r>
            <w:proofErr w:type="spellStart"/>
            <w:r w:rsidRPr="00CE3CAD">
              <w:rPr>
                <w:rFonts w:ascii="Calibri" w:hAnsi="Calibri" w:cs="Calibri"/>
              </w:rPr>
              <w:t>Brownsword</w:t>
            </w:r>
            <w:proofErr w:type="spellEnd"/>
            <w:r w:rsidRPr="00CE3CAD">
              <w:rPr>
                <w:rFonts w:ascii="Calibri" w:hAnsi="Calibri" w:cs="Calibri"/>
              </w:rPr>
              <w:t>, Mike</w:t>
            </w:r>
          </w:p>
          <w:p w14:paraId="1E8FB705" w14:textId="0B05CA6B" w:rsidR="00CE3CAD" w:rsidRDefault="00CE3CAD" w:rsidP="00FF2217">
            <w:pPr>
              <w:rPr>
                <w:rFonts w:ascii="Calibri" w:hAnsi="Calibri" w:cs="Calibri"/>
              </w:rPr>
            </w:pPr>
            <w:r w:rsidRPr="00CE3CAD">
              <w:rPr>
                <w:rFonts w:ascii="Calibri" w:hAnsi="Calibri" w:cs="Calibri"/>
              </w:rPr>
              <w:t>Stevenage: The Institution of Engineering and Technology</w:t>
            </w:r>
            <w:r>
              <w:rPr>
                <w:rFonts w:ascii="Calibri" w:hAnsi="Calibri" w:cs="Calibri"/>
              </w:rPr>
              <w:t xml:space="preserve"> (2016)</w:t>
            </w:r>
          </w:p>
          <w:p w14:paraId="3E6DCB60" w14:textId="043C479E" w:rsidR="00CE3CAD" w:rsidRDefault="00CE3CAD" w:rsidP="00FF2217">
            <w:pPr>
              <w:rPr>
                <w:rFonts w:ascii="Calibri" w:hAnsi="Calibri" w:cs="Calibri"/>
              </w:rPr>
            </w:pPr>
            <w:r w:rsidRPr="00CE3CAD">
              <w:rPr>
                <w:rFonts w:ascii="Calibri" w:hAnsi="Calibri" w:cs="Calibri"/>
              </w:rPr>
              <w:t>DOI: 10.1049/PBPC014E</w:t>
            </w:r>
          </w:p>
          <w:p w14:paraId="4A0E56AE" w14:textId="77777777" w:rsidR="00921876" w:rsidRPr="00C84704" w:rsidRDefault="00921876" w:rsidP="00FF2217">
            <w:pPr>
              <w:rPr>
                <w:rFonts w:ascii="Calibri" w:hAnsi="Calibri" w:cs="Calibri"/>
              </w:rPr>
            </w:pPr>
          </w:p>
          <w:p w14:paraId="4DE2AD19" w14:textId="77777777" w:rsidR="00C147DA" w:rsidRPr="00C84704" w:rsidRDefault="00C147DA" w:rsidP="00C147DA">
            <w:pPr>
              <w:rPr>
                <w:rFonts w:ascii="Calibri" w:hAnsi="Calibri" w:cs="Calibri"/>
              </w:rPr>
            </w:pPr>
            <w:r w:rsidRPr="00C84704">
              <w:rPr>
                <w:rFonts w:ascii="Calibri" w:hAnsi="Calibri" w:cs="Calibri"/>
              </w:rPr>
              <w:t xml:space="preserve">Bannister, N. P., &amp; </w:t>
            </w:r>
            <w:proofErr w:type="spellStart"/>
            <w:r w:rsidRPr="00C84704">
              <w:rPr>
                <w:rFonts w:ascii="Calibri" w:hAnsi="Calibri" w:cs="Calibri"/>
              </w:rPr>
              <w:t>Neyland</w:t>
            </w:r>
            <w:proofErr w:type="spellEnd"/>
            <w:r w:rsidRPr="00C84704">
              <w:rPr>
                <w:rFonts w:ascii="Calibri" w:hAnsi="Calibri" w:cs="Calibri"/>
              </w:rPr>
              <w:t xml:space="preserve">, D. L. (2015). Maritime domain awareness with commercially accessible electro-optical sensors in space. </w:t>
            </w:r>
            <w:r w:rsidRPr="00C84704">
              <w:rPr>
                <w:rFonts w:ascii="Calibri" w:hAnsi="Calibri" w:cs="Calibri"/>
                <w:i/>
                <w:iCs/>
              </w:rPr>
              <w:t>INTERNATIONAL JOURNAL OF REMOTE SENSING</w:t>
            </w:r>
            <w:r w:rsidRPr="00C84704">
              <w:rPr>
                <w:rFonts w:ascii="Calibri" w:hAnsi="Calibri" w:cs="Calibri"/>
              </w:rPr>
              <w:t xml:space="preserve">, </w:t>
            </w:r>
            <w:r w:rsidRPr="00C84704">
              <w:rPr>
                <w:rFonts w:ascii="Calibri" w:hAnsi="Calibri" w:cs="Calibri"/>
                <w:i/>
                <w:iCs/>
              </w:rPr>
              <w:t>36</w:t>
            </w:r>
            <w:r w:rsidRPr="00C84704">
              <w:rPr>
                <w:rFonts w:ascii="Calibri" w:hAnsi="Calibri" w:cs="Calibri"/>
              </w:rPr>
              <w:t>(1), 211-243. doi:10.1080/01431161.2014.990647  [</w:t>
            </w:r>
            <w:r w:rsidRPr="00C84704">
              <w:rPr>
                <w:rFonts w:ascii="Calibri" w:hAnsi="Calibri" w:cs="Calibri"/>
                <w:b/>
                <w:bCs/>
              </w:rPr>
              <w:t>This paper demonstrates capability for detailed constellation design and mission performance modelling</w:t>
            </w:r>
            <w:r w:rsidRPr="00C84704">
              <w:rPr>
                <w:rFonts w:ascii="Calibri" w:hAnsi="Calibri" w:cs="Calibri"/>
              </w:rPr>
              <w:t>]</w:t>
            </w:r>
          </w:p>
          <w:p w14:paraId="0C1770BA" w14:textId="77777777" w:rsidR="00C147DA" w:rsidRPr="00C84704" w:rsidRDefault="00C147DA" w:rsidP="00C147DA">
            <w:pPr>
              <w:rPr>
                <w:rFonts w:ascii="Calibri" w:hAnsi="Calibri" w:cs="Calibri"/>
              </w:rPr>
            </w:pPr>
          </w:p>
          <w:p w14:paraId="40484C93" w14:textId="7A4C3E79" w:rsidR="00C147DA" w:rsidRPr="00C84704" w:rsidRDefault="00C147DA" w:rsidP="00C147DA">
            <w:pPr>
              <w:rPr>
                <w:rFonts w:ascii="Calibri" w:hAnsi="Calibri" w:cs="Calibri"/>
              </w:rPr>
            </w:pPr>
            <w:r w:rsidRPr="00C84704">
              <w:rPr>
                <w:rFonts w:ascii="Calibri" w:hAnsi="Calibri" w:cs="Calibri"/>
              </w:rPr>
              <w:t>Bannister, N. P. et al. (2012). Astrophysical objects observed by the MESSENGER X-ray spectrometer during Mercury flybys. Planetary and Space Science, 69(1), 28-39. doi:10.1016/j.pss.2012.05.006  [</w:t>
            </w:r>
            <w:r w:rsidRPr="00C84704">
              <w:rPr>
                <w:rFonts w:ascii="Calibri" w:hAnsi="Calibri" w:cs="Calibri"/>
                <w:b/>
                <w:bCs/>
              </w:rPr>
              <w:t>This paper is based on a combination of trajectory and spacecraft attitude analysis combined with astrophysical models and instrument performance models to predict scientific performance</w:t>
            </w:r>
            <w:r w:rsidRPr="00C84704">
              <w:rPr>
                <w:rFonts w:ascii="Calibri" w:hAnsi="Calibri" w:cs="Calibri"/>
              </w:rPr>
              <w:t>]</w:t>
            </w:r>
          </w:p>
          <w:p w14:paraId="3AFD496F" w14:textId="1699F7E6" w:rsidR="00C147DA" w:rsidRPr="00C84704" w:rsidRDefault="00C147DA" w:rsidP="00FF2217">
            <w:pPr>
              <w:rPr>
                <w:rFonts w:ascii="Calibri" w:hAnsi="Calibri" w:cs="Calibri"/>
              </w:rPr>
            </w:pPr>
          </w:p>
        </w:tc>
      </w:tr>
    </w:tbl>
    <w:p w14:paraId="67C92D45" w14:textId="77777777" w:rsidR="001C2F49" w:rsidRPr="00C84704" w:rsidRDefault="001C2F49" w:rsidP="001C2F49">
      <w:pPr>
        <w:rPr>
          <w:rFonts w:ascii="Calibri" w:hAnsi="Calibri" w:cs="Calibri"/>
          <w:b/>
          <w:u w:val="single"/>
        </w:rPr>
      </w:pPr>
    </w:p>
    <w:sectPr w:rsidR="001C2F49" w:rsidRPr="00C84704"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530297F"/>
    <w:multiLevelType w:val="hybridMultilevel"/>
    <w:tmpl w:val="38BA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49"/>
    <w:rsid w:val="000320F7"/>
    <w:rsid w:val="00043C1D"/>
    <w:rsid w:val="00077041"/>
    <w:rsid w:val="000C280D"/>
    <w:rsid w:val="001C2F49"/>
    <w:rsid w:val="002240E0"/>
    <w:rsid w:val="00233054"/>
    <w:rsid w:val="0024509D"/>
    <w:rsid w:val="00277298"/>
    <w:rsid w:val="002B09AD"/>
    <w:rsid w:val="002E4123"/>
    <w:rsid w:val="003136CB"/>
    <w:rsid w:val="00436B82"/>
    <w:rsid w:val="0047561F"/>
    <w:rsid w:val="00485CAE"/>
    <w:rsid w:val="004A1C2D"/>
    <w:rsid w:val="004E4211"/>
    <w:rsid w:val="004F6821"/>
    <w:rsid w:val="0051594A"/>
    <w:rsid w:val="00553917"/>
    <w:rsid w:val="00564FDF"/>
    <w:rsid w:val="00626CF0"/>
    <w:rsid w:val="00637315"/>
    <w:rsid w:val="006D192B"/>
    <w:rsid w:val="006F3087"/>
    <w:rsid w:val="00716886"/>
    <w:rsid w:val="00771D21"/>
    <w:rsid w:val="007804D4"/>
    <w:rsid w:val="007849D4"/>
    <w:rsid w:val="007C2161"/>
    <w:rsid w:val="008E157E"/>
    <w:rsid w:val="00921876"/>
    <w:rsid w:val="00A12435"/>
    <w:rsid w:val="00A93C80"/>
    <w:rsid w:val="00BE2B11"/>
    <w:rsid w:val="00BF00D2"/>
    <w:rsid w:val="00C147DA"/>
    <w:rsid w:val="00C70354"/>
    <w:rsid w:val="00C84704"/>
    <w:rsid w:val="00C937DE"/>
    <w:rsid w:val="00C97C75"/>
    <w:rsid w:val="00CB3536"/>
    <w:rsid w:val="00CE3CAD"/>
    <w:rsid w:val="00D50E9B"/>
    <w:rsid w:val="00EB1D01"/>
    <w:rsid w:val="00FC6063"/>
    <w:rsid w:val="00FD767F"/>
    <w:rsid w:val="00FF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E9F05"/>
  <w15:chartTrackingRefBased/>
  <w15:docId w15:val="{1B5BC9EB-AD8F-4D04-ADD3-EC70096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1C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C8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4704"/>
    <w:rPr>
      <w:color w:val="0563C1" w:themeColor="hyperlink"/>
      <w:u w:val="single"/>
    </w:rPr>
  </w:style>
  <w:style w:type="character" w:customStyle="1" w:styleId="UnresolvedMention1">
    <w:name w:val="Unresolved Mention1"/>
    <w:basedOn w:val="DefaultParagraphFont"/>
    <w:uiPriority w:val="99"/>
    <w:semiHidden/>
    <w:unhideWhenUsed/>
    <w:rsid w:val="00C8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1435">
      <w:bodyDiv w:val="1"/>
      <w:marLeft w:val="0"/>
      <w:marRight w:val="0"/>
      <w:marTop w:val="0"/>
      <w:marBottom w:val="0"/>
      <w:divBdr>
        <w:top w:val="none" w:sz="0" w:space="0" w:color="auto"/>
        <w:left w:val="none" w:sz="0" w:space="0" w:color="auto"/>
        <w:bottom w:val="none" w:sz="0" w:space="0" w:color="auto"/>
        <w:right w:val="none" w:sz="0" w:space="0" w:color="auto"/>
      </w:divBdr>
      <w:divsChild>
        <w:div w:id="1605335115">
          <w:marLeft w:val="0"/>
          <w:marRight w:val="0"/>
          <w:marTop w:val="0"/>
          <w:marBottom w:val="0"/>
          <w:divBdr>
            <w:top w:val="none" w:sz="0" w:space="0" w:color="auto"/>
            <w:left w:val="none" w:sz="0" w:space="0" w:color="auto"/>
            <w:bottom w:val="none" w:sz="0" w:space="0" w:color="auto"/>
            <w:right w:val="none" w:sz="0" w:space="0" w:color="auto"/>
          </w:divBdr>
          <w:divsChild>
            <w:div w:id="615600660">
              <w:marLeft w:val="0"/>
              <w:marRight w:val="0"/>
              <w:marTop w:val="0"/>
              <w:marBottom w:val="0"/>
              <w:divBdr>
                <w:top w:val="none" w:sz="0" w:space="0" w:color="auto"/>
                <w:left w:val="none" w:sz="0" w:space="0" w:color="auto"/>
                <w:bottom w:val="none" w:sz="0" w:space="0" w:color="auto"/>
                <w:right w:val="none" w:sz="0" w:space="0" w:color="auto"/>
              </w:divBdr>
              <w:divsChild>
                <w:div w:id="8295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2682">
      <w:bodyDiv w:val="1"/>
      <w:marLeft w:val="0"/>
      <w:marRight w:val="0"/>
      <w:marTop w:val="0"/>
      <w:marBottom w:val="0"/>
      <w:divBdr>
        <w:top w:val="none" w:sz="0" w:space="0" w:color="auto"/>
        <w:left w:val="none" w:sz="0" w:space="0" w:color="auto"/>
        <w:bottom w:val="none" w:sz="0" w:space="0" w:color="auto"/>
        <w:right w:val="none" w:sz="0" w:space="0" w:color="auto"/>
      </w:divBdr>
      <w:divsChild>
        <w:div w:id="313726946">
          <w:marLeft w:val="0"/>
          <w:marRight w:val="0"/>
          <w:marTop w:val="0"/>
          <w:marBottom w:val="0"/>
          <w:divBdr>
            <w:top w:val="none" w:sz="0" w:space="0" w:color="auto"/>
            <w:left w:val="none" w:sz="0" w:space="0" w:color="auto"/>
            <w:bottom w:val="none" w:sz="0" w:space="0" w:color="auto"/>
            <w:right w:val="none" w:sz="0" w:space="0" w:color="auto"/>
          </w:divBdr>
          <w:divsChild>
            <w:div w:id="1846556820">
              <w:marLeft w:val="0"/>
              <w:marRight w:val="0"/>
              <w:marTop w:val="0"/>
              <w:marBottom w:val="0"/>
              <w:divBdr>
                <w:top w:val="none" w:sz="0" w:space="0" w:color="auto"/>
                <w:left w:val="none" w:sz="0" w:space="0" w:color="auto"/>
                <w:bottom w:val="none" w:sz="0" w:space="0" w:color="auto"/>
                <w:right w:val="none" w:sz="0" w:space="0" w:color="auto"/>
              </w:divBdr>
              <w:divsChild>
                <w:div w:id="98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885">
      <w:bodyDiv w:val="1"/>
      <w:marLeft w:val="0"/>
      <w:marRight w:val="0"/>
      <w:marTop w:val="0"/>
      <w:marBottom w:val="0"/>
      <w:divBdr>
        <w:top w:val="none" w:sz="0" w:space="0" w:color="auto"/>
        <w:left w:val="none" w:sz="0" w:space="0" w:color="auto"/>
        <w:bottom w:val="none" w:sz="0" w:space="0" w:color="auto"/>
        <w:right w:val="none" w:sz="0" w:space="0" w:color="auto"/>
      </w:divBdr>
      <w:divsChild>
        <w:div w:id="225340559">
          <w:marLeft w:val="0"/>
          <w:marRight w:val="0"/>
          <w:marTop w:val="0"/>
          <w:marBottom w:val="0"/>
          <w:divBdr>
            <w:top w:val="none" w:sz="0" w:space="0" w:color="auto"/>
            <w:left w:val="none" w:sz="0" w:space="0" w:color="auto"/>
            <w:bottom w:val="none" w:sz="0" w:space="0" w:color="auto"/>
            <w:right w:val="none" w:sz="0" w:space="0" w:color="auto"/>
          </w:divBdr>
          <w:divsChild>
            <w:div w:id="475076843">
              <w:marLeft w:val="0"/>
              <w:marRight w:val="0"/>
              <w:marTop w:val="0"/>
              <w:marBottom w:val="0"/>
              <w:divBdr>
                <w:top w:val="none" w:sz="0" w:space="0" w:color="auto"/>
                <w:left w:val="none" w:sz="0" w:space="0" w:color="auto"/>
                <w:bottom w:val="none" w:sz="0" w:space="0" w:color="auto"/>
                <w:right w:val="none" w:sz="0" w:space="0" w:color="auto"/>
              </w:divBdr>
              <w:divsChild>
                <w:div w:id="725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9540">
      <w:bodyDiv w:val="1"/>
      <w:marLeft w:val="0"/>
      <w:marRight w:val="0"/>
      <w:marTop w:val="0"/>
      <w:marBottom w:val="0"/>
      <w:divBdr>
        <w:top w:val="none" w:sz="0" w:space="0" w:color="auto"/>
        <w:left w:val="none" w:sz="0" w:space="0" w:color="auto"/>
        <w:bottom w:val="none" w:sz="0" w:space="0" w:color="auto"/>
        <w:right w:val="none" w:sz="0" w:space="0" w:color="auto"/>
      </w:divBdr>
      <w:divsChild>
        <w:div w:id="521479781">
          <w:marLeft w:val="0"/>
          <w:marRight w:val="0"/>
          <w:marTop w:val="0"/>
          <w:marBottom w:val="0"/>
          <w:divBdr>
            <w:top w:val="none" w:sz="0" w:space="0" w:color="auto"/>
            <w:left w:val="none" w:sz="0" w:space="0" w:color="auto"/>
            <w:bottom w:val="none" w:sz="0" w:space="0" w:color="auto"/>
            <w:right w:val="none" w:sz="0" w:space="0" w:color="auto"/>
          </w:divBdr>
          <w:divsChild>
            <w:div w:id="694691380">
              <w:marLeft w:val="0"/>
              <w:marRight w:val="0"/>
              <w:marTop w:val="0"/>
              <w:marBottom w:val="0"/>
              <w:divBdr>
                <w:top w:val="none" w:sz="0" w:space="0" w:color="auto"/>
                <w:left w:val="none" w:sz="0" w:space="0" w:color="auto"/>
                <w:bottom w:val="none" w:sz="0" w:space="0" w:color="auto"/>
                <w:right w:val="none" w:sz="0" w:space="0" w:color="auto"/>
              </w:divBdr>
              <w:divsChild>
                <w:div w:id="12868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101@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0" ma:contentTypeDescription="Create a new document." ma:contentTypeScope="" ma:versionID="7144607e42790ae11933435296c2305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A219C-8FA2-4C7A-A01E-F595F98FED4F}">
  <ds:schemaRefs>
    <ds:schemaRef ds:uri="http://schemas.microsoft.com/sharepoint/v3/contenttype/forms"/>
  </ds:schemaRefs>
</ds:datastoreItem>
</file>

<file path=customXml/itemProps2.xml><?xml version="1.0" encoding="utf-8"?>
<ds:datastoreItem xmlns:ds="http://schemas.openxmlformats.org/officeDocument/2006/customXml" ds:itemID="{E9F55BEB-2C45-48C6-A797-E3E5157114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456C2C27-3672-426C-B3D4-C3DBD4C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2</cp:revision>
  <dcterms:created xsi:type="dcterms:W3CDTF">2022-02-09T09:42:00Z</dcterms:created>
  <dcterms:modified xsi:type="dcterms:W3CDTF">2022-02-09T09:42:00Z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