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F0123F" w14:textId="77777777" w:rsidR="0023475C" w:rsidRDefault="0023475C" w:rsidP="0023475C">
      <w:pPr>
        <w:rPr>
          <w:rFonts w:ascii="Arial" w:eastAsiaTheme="minorHAnsi" w:hAnsi="Arial" w:cs="Arial"/>
          <w:b/>
          <w:color w:val="auto"/>
        </w:rPr>
      </w:pPr>
      <w:r>
        <w:rPr>
          <w:rFonts w:cs="Arial"/>
          <w:b/>
        </w:rPr>
        <w:t xml:space="preserve">University of Leicester Future 100 PhD Scholarship </w:t>
      </w:r>
    </w:p>
    <w:p w14:paraId="1927CAEE" w14:textId="116C3CA0" w:rsidR="000B53E0" w:rsidRDefault="0023475C" w:rsidP="0023475C">
      <w:pPr>
        <w:spacing w:after="0" w:line="240" w:lineRule="auto"/>
        <w:rPr>
          <w:rFonts w:cs="Arial"/>
          <w:b/>
        </w:rPr>
      </w:pPr>
      <w:r>
        <w:rPr>
          <w:rFonts w:cs="Arial"/>
          <w:b/>
        </w:rPr>
        <w:t>Project Reference:  SAAH-Samson</w:t>
      </w:r>
    </w:p>
    <w:p w14:paraId="736A33B6" w14:textId="77777777" w:rsidR="0023475C" w:rsidRPr="00D7620C" w:rsidRDefault="0023475C" w:rsidP="0023475C">
      <w:pPr>
        <w:spacing w:after="0" w:line="240" w:lineRule="auto"/>
        <w:rPr>
          <w:rFonts w:cs="Arial"/>
          <w:b/>
        </w:rPr>
      </w:pPr>
    </w:p>
    <w:p w14:paraId="043ED4C7" w14:textId="77777777" w:rsidR="006E6127" w:rsidRPr="006B05B2" w:rsidRDefault="006E6127" w:rsidP="005D7571">
      <w:pPr>
        <w:spacing w:after="0" w:line="240" w:lineRule="auto"/>
        <w:rPr>
          <w:b/>
          <w:i/>
        </w:rPr>
      </w:pPr>
      <w:r w:rsidRPr="006B05B2">
        <w:rPr>
          <w:b/>
        </w:rPr>
        <w:t>Section 1 –</w:t>
      </w:r>
      <w:r w:rsidRPr="006B05B2">
        <w:rPr>
          <w:b/>
          <w:i/>
        </w:rPr>
        <w:t xml:space="preserve"> Supervisor Information</w:t>
      </w:r>
    </w:p>
    <w:tbl>
      <w:tblPr>
        <w:tblStyle w:val="TableGrid"/>
        <w:tblW w:w="9034" w:type="dxa"/>
        <w:tblLayout w:type="fixed"/>
        <w:tblLook w:val="04A0" w:firstRow="1" w:lastRow="0" w:firstColumn="1" w:lastColumn="0" w:noHBand="0" w:noVBand="1"/>
      </w:tblPr>
      <w:tblGrid>
        <w:gridCol w:w="3227"/>
        <w:gridCol w:w="5807"/>
      </w:tblGrid>
      <w:tr w:rsidR="006E6127" w14:paraId="1A8AEE3E" w14:textId="77777777" w:rsidTr="00F032DC">
        <w:tc>
          <w:tcPr>
            <w:tcW w:w="3227" w:type="dxa"/>
            <w:shd w:val="clear" w:color="auto" w:fill="F2F2F2" w:themeFill="background1" w:themeFillShade="F2"/>
          </w:tcPr>
          <w:p w14:paraId="797595AE" w14:textId="03EBCC05" w:rsidR="006E6127" w:rsidRPr="00B11D52" w:rsidRDefault="0023475C" w:rsidP="0023475C">
            <w:pPr>
              <w:rPr>
                <w:b/>
              </w:rPr>
            </w:pPr>
            <w:r>
              <w:rPr>
                <w:b/>
              </w:rPr>
              <w:t xml:space="preserve">First Supervisor </w:t>
            </w:r>
          </w:p>
        </w:tc>
        <w:tc>
          <w:tcPr>
            <w:tcW w:w="5807" w:type="dxa"/>
          </w:tcPr>
          <w:p w14:paraId="2EFC27AD" w14:textId="52A1F154" w:rsidR="006E6127" w:rsidRDefault="0023475C" w:rsidP="005D7571">
            <w:r>
              <w:t xml:space="preserve">Dr </w:t>
            </w:r>
            <w:r w:rsidR="006B65B3">
              <w:t>Alice Samson</w:t>
            </w:r>
          </w:p>
        </w:tc>
      </w:tr>
      <w:tr w:rsidR="006E6127" w14:paraId="440F0AB6" w14:textId="77777777" w:rsidTr="00F032DC">
        <w:tc>
          <w:tcPr>
            <w:tcW w:w="3227" w:type="dxa"/>
            <w:shd w:val="clear" w:color="auto" w:fill="F2F2F2" w:themeFill="background1" w:themeFillShade="F2"/>
          </w:tcPr>
          <w:p w14:paraId="5EE2848F" w14:textId="77777777" w:rsidR="006E6127" w:rsidRPr="00B11D52" w:rsidRDefault="006E6127" w:rsidP="005D7571">
            <w:pPr>
              <w:rPr>
                <w:b/>
              </w:rPr>
            </w:pPr>
            <w:r>
              <w:rPr>
                <w:b/>
              </w:rPr>
              <w:t>School/Department</w:t>
            </w:r>
          </w:p>
        </w:tc>
        <w:tc>
          <w:tcPr>
            <w:tcW w:w="5807" w:type="dxa"/>
          </w:tcPr>
          <w:p w14:paraId="33043918" w14:textId="2004C980" w:rsidR="006E6127" w:rsidRDefault="006B65B3" w:rsidP="005D7571">
            <w:r>
              <w:t>S</w:t>
            </w:r>
            <w:r w:rsidR="00F07226">
              <w:t xml:space="preserve">chool of </w:t>
            </w:r>
            <w:r>
              <w:t>A</w:t>
            </w:r>
            <w:r w:rsidR="00F07226">
              <w:t xml:space="preserve">rchaeology and </w:t>
            </w:r>
            <w:r>
              <w:t>A</w:t>
            </w:r>
            <w:r w:rsidR="00F07226">
              <w:t xml:space="preserve">ncient </w:t>
            </w:r>
            <w:r>
              <w:t>H</w:t>
            </w:r>
            <w:r w:rsidR="00F07226">
              <w:t>istory</w:t>
            </w:r>
            <w:bookmarkStart w:id="0" w:name="_GoBack"/>
            <w:bookmarkEnd w:id="0"/>
          </w:p>
        </w:tc>
      </w:tr>
      <w:tr w:rsidR="0023475C" w14:paraId="50DAD948" w14:textId="77777777" w:rsidTr="00A35D4C">
        <w:tc>
          <w:tcPr>
            <w:tcW w:w="3227" w:type="dxa"/>
            <w:shd w:val="clear" w:color="auto" w:fill="F2F2F2" w:themeFill="background1" w:themeFillShade="F2"/>
          </w:tcPr>
          <w:p w14:paraId="101ABC6A" w14:textId="77777777" w:rsidR="0023475C" w:rsidRDefault="0023475C" w:rsidP="005D7571">
            <w:pPr>
              <w:rPr>
                <w:b/>
              </w:rPr>
            </w:pPr>
            <w:r>
              <w:rPr>
                <w:b/>
              </w:rPr>
              <w:t xml:space="preserve">Email </w:t>
            </w:r>
          </w:p>
        </w:tc>
        <w:tc>
          <w:tcPr>
            <w:tcW w:w="5807" w:type="dxa"/>
          </w:tcPr>
          <w:p w14:paraId="731A3E74" w14:textId="49769CF6" w:rsidR="0023475C" w:rsidRDefault="00F07226" w:rsidP="0023475C">
            <w:hyperlink r:id="rId8" w:history="1">
              <w:r w:rsidR="0023475C" w:rsidRPr="003724FE">
                <w:rPr>
                  <w:rStyle w:val="Hyperlink"/>
                </w:rPr>
                <w:t>Avms1@le.ac.uk</w:t>
              </w:r>
            </w:hyperlink>
            <w:r w:rsidR="0023475C">
              <w:t xml:space="preserve"> </w:t>
            </w:r>
          </w:p>
        </w:tc>
      </w:tr>
    </w:tbl>
    <w:p w14:paraId="46EA624D" w14:textId="77777777" w:rsidR="006E6127" w:rsidRDefault="006E6127" w:rsidP="005D7571">
      <w:pPr>
        <w:spacing w:after="0" w:line="240" w:lineRule="auto"/>
      </w:pPr>
    </w:p>
    <w:tbl>
      <w:tblPr>
        <w:tblStyle w:val="TableGrid"/>
        <w:tblW w:w="9034" w:type="dxa"/>
        <w:tblLayout w:type="fixed"/>
        <w:tblLook w:val="04A0" w:firstRow="1" w:lastRow="0" w:firstColumn="1" w:lastColumn="0" w:noHBand="0" w:noVBand="1"/>
      </w:tblPr>
      <w:tblGrid>
        <w:gridCol w:w="2263"/>
        <w:gridCol w:w="6771"/>
      </w:tblGrid>
      <w:tr w:rsidR="006E6127" w14:paraId="0A85AC2D" w14:textId="77777777" w:rsidTr="0023475C">
        <w:tc>
          <w:tcPr>
            <w:tcW w:w="2263" w:type="dxa"/>
            <w:shd w:val="clear" w:color="auto" w:fill="F2F2F2" w:themeFill="background1" w:themeFillShade="F2"/>
          </w:tcPr>
          <w:p w14:paraId="28C9FD24" w14:textId="77777777" w:rsidR="006E6127" w:rsidRPr="00B11D52" w:rsidRDefault="006E6127" w:rsidP="005D7571">
            <w:pPr>
              <w:rPr>
                <w:b/>
              </w:rPr>
            </w:pPr>
            <w:r>
              <w:rPr>
                <w:b/>
              </w:rPr>
              <w:t>Proposed Second Supervisor</w:t>
            </w:r>
          </w:p>
        </w:tc>
        <w:tc>
          <w:tcPr>
            <w:tcW w:w="6771" w:type="dxa"/>
          </w:tcPr>
          <w:p w14:paraId="68010765" w14:textId="74BF1B4E" w:rsidR="006E6127" w:rsidRDefault="006B65B3" w:rsidP="0023475C">
            <w:r>
              <w:t>Sarah Inskip</w:t>
            </w:r>
            <w:r w:rsidR="0023475C">
              <w:t xml:space="preserve"> </w:t>
            </w:r>
          </w:p>
        </w:tc>
      </w:tr>
      <w:tr w:rsidR="00BB165D" w14:paraId="02D5964E" w14:textId="77777777" w:rsidTr="00E1755E">
        <w:tc>
          <w:tcPr>
            <w:tcW w:w="2263" w:type="dxa"/>
            <w:shd w:val="clear" w:color="auto" w:fill="F2F2F2" w:themeFill="background1" w:themeFillShade="F2"/>
          </w:tcPr>
          <w:p w14:paraId="52DC0340" w14:textId="12431C5A" w:rsidR="00BB165D" w:rsidRPr="00B11D52" w:rsidRDefault="00BB165D" w:rsidP="00E1755E">
            <w:pPr>
              <w:rPr>
                <w:b/>
              </w:rPr>
            </w:pPr>
            <w:r>
              <w:rPr>
                <w:b/>
              </w:rPr>
              <w:t>Additional 3</w:t>
            </w:r>
            <w:r w:rsidRPr="00BB165D">
              <w:rPr>
                <w:b/>
                <w:vertAlign w:val="superscript"/>
              </w:rPr>
              <w:t>rd</w:t>
            </w:r>
            <w:r>
              <w:rPr>
                <w:b/>
              </w:rPr>
              <w:t xml:space="preserve"> Supervisor</w:t>
            </w:r>
          </w:p>
        </w:tc>
        <w:tc>
          <w:tcPr>
            <w:tcW w:w="6771" w:type="dxa"/>
          </w:tcPr>
          <w:p w14:paraId="5D7594AD" w14:textId="6D8A61D3" w:rsidR="00BB165D" w:rsidRDefault="00EE1F74" w:rsidP="00E1755E">
            <w:r>
              <w:t>Arnoud Boom</w:t>
            </w:r>
          </w:p>
        </w:tc>
      </w:tr>
      <w:tr w:rsidR="006E6127" w14:paraId="6DF730B7" w14:textId="77777777" w:rsidTr="00F032DC">
        <w:tc>
          <w:tcPr>
            <w:tcW w:w="2263" w:type="dxa"/>
            <w:shd w:val="clear" w:color="auto" w:fill="F2F2F2" w:themeFill="background1" w:themeFillShade="F2"/>
          </w:tcPr>
          <w:p w14:paraId="7A93E3A8" w14:textId="77777777" w:rsidR="006E6127" w:rsidRPr="00B11D52" w:rsidRDefault="006E6127" w:rsidP="005D7571">
            <w:pPr>
              <w:rPr>
                <w:b/>
              </w:rPr>
            </w:pPr>
            <w:r>
              <w:rPr>
                <w:b/>
              </w:rPr>
              <w:t>Additional Supervisor</w:t>
            </w:r>
          </w:p>
        </w:tc>
        <w:tc>
          <w:tcPr>
            <w:tcW w:w="6771" w:type="dxa"/>
          </w:tcPr>
          <w:p w14:paraId="1691AF1A" w14:textId="1F621577" w:rsidR="006E6127" w:rsidRDefault="002F1A89" w:rsidP="005D7571">
            <w:r>
              <w:t>Jago Cooper</w:t>
            </w:r>
          </w:p>
        </w:tc>
      </w:tr>
    </w:tbl>
    <w:p w14:paraId="70B3CAEA" w14:textId="77777777" w:rsidR="006E6127" w:rsidRDefault="006E6127" w:rsidP="005D7571">
      <w:pPr>
        <w:spacing w:after="0" w:line="240" w:lineRule="auto"/>
        <w:rPr>
          <w:b/>
          <w:u w:val="single"/>
        </w:rPr>
      </w:pPr>
    </w:p>
    <w:p w14:paraId="3C7C5CA8" w14:textId="77777777" w:rsidR="006E6127" w:rsidRPr="006B05B2" w:rsidRDefault="006E6127" w:rsidP="005D7571">
      <w:pPr>
        <w:spacing w:after="0" w:line="240" w:lineRule="auto"/>
        <w:rPr>
          <w:b/>
          <w:i/>
        </w:rPr>
      </w:pPr>
      <w:r w:rsidRPr="006B05B2">
        <w:rPr>
          <w:b/>
        </w:rPr>
        <w:t xml:space="preserve">Section 2 – </w:t>
      </w:r>
      <w:r w:rsidRPr="006B05B2">
        <w:rPr>
          <w:b/>
          <w:i/>
        </w:rPr>
        <w:t>Project Information</w:t>
      </w:r>
    </w:p>
    <w:tbl>
      <w:tblPr>
        <w:tblStyle w:val="TableGrid"/>
        <w:tblW w:w="0" w:type="auto"/>
        <w:tblLook w:val="04A0" w:firstRow="1" w:lastRow="0" w:firstColumn="1" w:lastColumn="0" w:noHBand="0" w:noVBand="1"/>
      </w:tblPr>
      <w:tblGrid>
        <w:gridCol w:w="1980"/>
        <w:gridCol w:w="372"/>
        <w:gridCol w:w="53"/>
        <w:gridCol w:w="6611"/>
      </w:tblGrid>
      <w:tr w:rsidR="006E6127" w14:paraId="61847E1F" w14:textId="77777777" w:rsidTr="00F032DC">
        <w:tc>
          <w:tcPr>
            <w:tcW w:w="1980" w:type="dxa"/>
            <w:shd w:val="clear" w:color="auto" w:fill="F2F2F2" w:themeFill="background1" w:themeFillShade="F2"/>
          </w:tcPr>
          <w:p w14:paraId="09FB775F" w14:textId="77777777" w:rsidR="006E6127" w:rsidRDefault="006E6127" w:rsidP="005D7571">
            <w:pPr>
              <w:rPr>
                <w:b/>
              </w:rPr>
            </w:pPr>
            <w:r>
              <w:rPr>
                <w:b/>
              </w:rPr>
              <w:t>Project Title</w:t>
            </w:r>
          </w:p>
          <w:p w14:paraId="0F1F1EED" w14:textId="77777777" w:rsidR="006E6127" w:rsidRPr="00B11D52" w:rsidRDefault="006E6127" w:rsidP="005D7571">
            <w:pPr>
              <w:rPr>
                <w:b/>
              </w:rPr>
            </w:pPr>
          </w:p>
        </w:tc>
        <w:tc>
          <w:tcPr>
            <w:tcW w:w="7036" w:type="dxa"/>
            <w:gridSpan w:val="3"/>
          </w:tcPr>
          <w:p w14:paraId="37F23267" w14:textId="2011DA8C" w:rsidR="006E6127" w:rsidRPr="006B65B3" w:rsidRDefault="006B65B3" w:rsidP="005D7571">
            <w:pPr>
              <w:rPr>
                <w:rFonts w:asciiTheme="minorHAnsi" w:eastAsiaTheme="minorHAnsi" w:hAnsiTheme="minorHAnsi" w:cstheme="minorBidi"/>
                <w:b/>
                <w:color w:val="auto"/>
              </w:rPr>
            </w:pPr>
            <w:r>
              <w:rPr>
                <w:b/>
              </w:rPr>
              <w:t xml:space="preserve">Drug cultures and wellbeing: Investigating drug use in the precolonial Caribbean </w:t>
            </w:r>
          </w:p>
        </w:tc>
      </w:tr>
      <w:tr w:rsidR="006E6127" w14:paraId="022FF22A" w14:textId="77777777" w:rsidTr="00F032DC">
        <w:tc>
          <w:tcPr>
            <w:tcW w:w="1980" w:type="dxa"/>
            <w:vMerge w:val="restart"/>
            <w:shd w:val="clear" w:color="auto" w:fill="F2F2F2" w:themeFill="background1" w:themeFillShade="F2"/>
          </w:tcPr>
          <w:p w14:paraId="32E749E6" w14:textId="77777777" w:rsidR="006E6127" w:rsidRDefault="006E6127" w:rsidP="005D7571">
            <w:pPr>
              <w:rPr>
                <w:b/>
              </w:rPr>
            </w:pPr>
            <w:r>
              <w:rPr>
                <w:b/>
              </w:rPr>
              <w:t>Project Highlights:</w:t>
            </w:r>
          </w:p>
        </w:tc>
        <w:tc>
          <w:tcPr>
            <w:tcW w:w="425" w:type="dxa"/>
            <w:gridSpan w:val="2"/>
            <w:shd w:val="clear" w:color="auto" w:fill="F2F2F2" w:themeFill="background1" w:themeFillShade="F2"/>
          </w:tcPr>
          <w:p w14:paraId="6E0ABFD6" w14:textId="77777777" w:rsidR="006E6127" w:rsidRDefault="006E6127" w:rsidP="005D7571">
            <w:r>
              <w:t>1.</w:t>
            </w:r>
          </w:p>
        </w:tc>
        <w:tc>
          <w:tcPr>
            <w:tcW w:w="6611" w:type="dxa"/>
          </w:tcPr>
          <w:p w14:paraId="2D6E794B" w14:textId="0696C7F4" w:rsidR="006E6127" w:rsidRDefault="002F1A89" w:rsidP="002F1A89">
            <w:r>
              <w:t>Analyses radically different drug cultures to our own</w:t>
            </w:r>
          </w:p>
        </w:tc>
      </w:tr>
      <w:tr w:rsidR="006E6127" w14:paraId="6A3A0D58" w14:textId="77777777" w:rsidTr="00F032DC">
        <w:tc>
          <w:tcPr>
            <w:tcW w:w="1980" w:type="dxa"/>
            <w:vMerge/>
            <w:shd w:val="clear" w:color="auto" w:fill="F2F2F2" w:themeFill="background1" w:themeFillShade="F2"/>
          </w:tcPr>
          <w:p w14:paraId="0469E66A" w14:textId="77777777" w:rsidR="006E6127" w:rsidRDefault="006E6127" w:rsidP="005D7571">
            <w:pPr>
              <w:rPr>
                <w:b/>
              </w:rPr>
            </w:pPr>
          </w:p>
        </w:tc>
        <w:tc>
          <w:tcPr>
            <w:tcW w:w="425" w:type="dxa"/>
            <w:gridSpan w:val="2"/>
            <w:shd w:val="clear" w:color="auto" w:fill="F2F2F2" w:themeFill="background1" w:themeFillShade="F2"/>
          </w:tcPr>
          <w:p w14:paraId="6DB929FA" w14:textId="77777777" w:rsidR="006E6127" w:rsidRDefault="006E6127" w:rsidP="005D7571">
            <w:r>
              <w:t>2.</w:t>
            </w:r>
          </w:p>
        </w:tc>
        <w:tc>
          <w:tcPr>
            <w:tcW w:w="6611" w:type="dxa"/>
          </w:tcPr>
          <w:p w14:paraId="738C58DD" w14:textId="4483E9B9" w:rsidR="006E6127" w:rsidRDefault="002F1A89" w:rsidP="005D7571">
            <w:r>
              <w:t>Challenges the divide between humanities and sciences research by combining archeometric and critical approaches</w:t>
            </w:r>
          </w:p>
        </w:tc>
      </w:tr>
      <w:tr w:rsidR="006E6127" w14:paraId="5992A2EF" w14:textId="77777777" w:rsidTr="00F032DC">
        <w:tc>
          <w:tcPr>
            <w:tcW w:w="1980" w:type="dxa"/>
            <w:vMerge/>
            <w:shd w:val="clear" w:color="auto" w:fill="F2F2F2" w:themeFill="background1" w:themeFillShade="F2"/>
          </w:tcPr>
          <w:p w14:paraId="501EDAEF" w14:textId="77777777" w:rsidR="006E6127" w:rsidRDefault="006E6127" w:rsidP="005D7571">
            <w:pPr>
              <w:rPr>
                <w:b/>
              </w:rPr>
            </w:pPr>
          </w:p>
        </w:tc>
        <w:tc>
          <w:tcPr>
            <w:tcW w:w="425" w:type="dxa"/>
            <w:gridSpan w:val="2"/>
            <w:shd w:val="clear" w:color="auto" w:fill="F2F2F2" w:themeFill="background1" w:themeFillShade="F2"/>
          </w:tcPr>
          <w:p w14:paraId="4AC1E73A" w14:textId="77777777" w:rsidR="006E6127" w:rsidRDefault="006E6127" w:rsidP="005D7571">
            <w:r>
              <w:t>3.</w:t>
            </w:r>
          </w:p>
        </w:tc>
        <w:tc>
          <w:tcPr>
            <w:tcW w:w="6611" w:type="dxa"/>
          </w:tcPr>
          <w:p w14:paraId="0BD08533" w14:textId="296F349D" w:rsidR="006E6127" w:rsidRDefault="002F1A89" w:rsidP="005D7571">
            <w:r>
              <w:t xml:space="preserve">Builds on cutting edge applications in archaeology (metabolomics) </w:t>
            </w:r>
          </w:p>
        </w:tc>
      </w:tr>
      <w:tr w:rsidR="006E6127" w14:paraId="29387A84" w14:textId="77777777" w:rsidTr="00F032DC">
        <w:tc>
          <w:tcPr>
            <w:tcW w:w="9016" w:type="dxa"/>
            <w:gridSpan w:val="4"/>
            <w:shd w:val="clear" w:color="auto" w:fill="F2F2F2" w:themeFill="background1" w:themeFillShade="F2"/>
          </w:tcPr>
          <w:p w14:paraId="69818782" w14:textId="4309C147" w:rsidR="006E6127" w:rsidRDefault="0023475C" w:rsidP="0023475C">
            <w:r>
              <w:rPr>
                <w:b/>
              </w:rPr>
              <w:t xml:space="preserve">Project Overview </w:t>
            </w:r>
          </w:p>
        </w:tc>
      </w:tr>
      <w:tr w:rsidR="006E6127" w14:paraId="62CB8AA0" w14:textId="77777777" w:rsidTr="00F032DC">
        <w:tc>
          <w:tcPr>
            <w:tcW w:w="9016" w:type="dxa"/>
            <w:gridSpan w:val="4"/>
          </w:tcPr>
          <w:p w14:paraId="7583858C" w14:textId="77777777" w:rsidR="00E260DA" w:rsidRDefault="00E260DA" w:rsidP="00E260DA">
            <w:pPr>
              <w:pStyle w:val="xmsonormal"/>
              <w:rPr>
                <w:rFonts w:ascii="Calibri" w:hAnsi="Calibri" w:cs="Calibri"/>
                <w:sz w:val="22"/>
                <w:szCs w:val="22"/>
              </w:rPr>
            </w:pPr>
            <w:r>
              <w:rPr>
                <w:rFonts w:ascii="Calibri" w:hAnsi="Calibri" w:cs="Calibri"/>
                <w:sz w:val="22"/>
                <w:szCs w:val="22"/>
              </w:rPr>
              <w:t>This PhD project aims to understand the nature and context of drug use in past societies in which the use of intoxicating or mind-altering substances is part of long-standing cultural traditions. This contrasts with cultures such as our own in which many intoxicants are criminalised and drug-use a social problem.</w:t>
            </w:r>
          </w:p>
          <w:p w14:paraId="51A73AC1" w14:textId="77777777" w:rsidR="00E260DA" w:rsidRDefault="00E260DA" w:rsidP="00E260DA">
            <w:pPr>
              <w:pStyle w:val="xmsonormal"/>
              <w:rPr>
                <w:rFonts w:ascii="Calibri" w:hAnsi="Calibri" w:cs="Calibri"/>
                <w:sz w:val="22"/>
                <w:szCs w:val="22"/>
              </w:rPr>
            </w:pPr>
            <w:r>
              <w:rPr>
                <w:rFonts w:ascii="Calibri" w:hAnsi="Calibri" w:cs="Calibri"/>
                <w:sz w:val="22"/>
                <w:szCs w:val="22"/>
              </w:rPr>
              <w:t xml:space="preserve">Drug use was widespread and endemic across much of the Indigenous Americas, including the precolonial Caribbean. A variety of plant-based substances were consumed in rule-bound contexts for political and religious purposes to maintain relations with the wider cosmos. Historical sources exist with detailed descriptions of rituals involving hallucinogens, as well as iconography referring to these rituals. Archaeological objects such as sniffing bowls, tubes, and burners are common across the archipelago (Ostapkowicz 2020; Pagán-Jiménez 2014). Substances consumed in the Caribbean are presumed to be tobacco and </w:t>
            </w:r>
            <w:r>
              <w:rPr>
                <w:rFonts w:ascii="Calibri" w:hAnsi="Calibri" w:cs="Calibri"/>
                <w:i/>
                <w:iCs/>
                <w:sz w:val="22"/>
                <w:szCs w:val="22"/>
              </w:rPr>
              <w:t>Anadenanthera peregrina</w:t>
            </w:r>
            <w:r>
              <w:rPr>
                <w:rFonts w:ascii="Calibri" w:hAnsi="Calibri" w:cs="Calibri"/>
                <w:sz w:val="22"/>
                <w:szCs w:val="22"/>
              </w:rPr>
              <w:t xml:space="preserve"> (a psychedelic referred to as </w:t>
            </w:r>
            <w:r>
              <w:rPr>
                <w:rFonts w:ascii="Calibri" w:hAnsi="Calibri" w:cs="Calibri"/>
                <w:i/>
                <w:iCs/>
                <w:sz w:val="22"/>
                <w:szCs w:val="22"/>
              </w:rPr>
              <w:t>cohoba</w:t>
            </w:r>
            <w:r>
              <w:rPr>
                <w:rFonts w:ascii="Calibri" w:hAnsi="Calibri" w:cs="Calibri"/>
                <w:sz w:val="22"/>
                <w:szCs w:val="22"/>
              </w:rPr>
              <w:t xml:space="preserve"> in historic sources and </w:t>
            </w:r>
            <w:r>
              <w:rPr>
                <w:rFonts w:ascii="Calibri" w:hAnsi="Calibri" w:cs="Calibri"/>
                <w:i/>
                <w:iCs/>
                <w:sz w:val="22"/>
                <w:szCs w:val="22"/>
              </w:rPr>
              <w:t>yopo</w:t>
            </w:r>
            <w:r>
              <w:rPr>
                <w:rFonts w:ascii="Calibri" w:hAnsi="Calibri" w:cs="Calibri"/>
                <w:sz w:val="22"/>
                <w:szCs w:val="22"/>
              </w:rPr>
              <w:t xml:space="preserve"> in Indigenous South America today), but these have not been attested archaeologically. </w:t>
            </w:r>
          </w:p>
          <w:p w14:paraId="1785D15D" w14:textId="77777777" w:rsidR="00E260DA" w:rsidRDefault="00E260DA" w:rsidP="00E260DA">
            <w:pPr>
              <w:pStyle w:val="xmsonormal"/>
              <w:rPr>
                <w:rFonts w:ascii="Calibri" w:hAnsi="Calibri" w:cs="Calibri"/>
                <w:sz w:val="22"/>
                <w:szCs w:val="22"/>
              </w:rPr>
            </w:pPr>
            <w:r>
              <w:rPr>
                <w:rFonts w:ascii="Calibri" w:hAnsi="Calibri" w:cs="Calibri"/>
                <w:sz w:val="22"/>
                <w:szCs w:val="22"/>
              </w:rPr>
              <w:t xml:space="preserve">Archeometric analyses combined with information on wider archaeological context can elucidate the dynamics of radically different drug cultures. The aim of this project it to examine original contexts of use, including the materiality of practices and range of intoxicants consumed. The student will focus on how Indigenous populations prepared, consumed, and valued particular substances. This moves beyond the current archaeological focus on nicotine and tobacco (e.g. Carmody et al. 2018; Echeverría et al. 2014), and the results will contribute to a bigger history of drug cultures in the Americas. </w:t>
            </w:r>
          </w:p>
          <w:p w14:paraId="48DA7FAF" w14:textId="28618186" w:rsidR="003515D2" w:rsidRPr="00E260DA" w:rsidRDefault="00E260DA" w:rsidP="00E260DA">
            <w:pPr>
              <w:pStyle w:val="xmsonormal"/>
              <w:rPr>
                <w:rFonts w:ascii="Calibri" w:hAnsi="Calibri" w:cs="Calibri"/>
                <w:sz w:val="22"/>
                <w:szCs w:val="22"/>
              </w:rPr>
            </w:pPr>
            <w:r>
              <w:rPr>
                <w:rFonts w:ascii="Calibri" w:hAnsi="Calibri" w:cs="Calibri"/>
                <w:sz w:val="22"/>
                <w:szCs w:val="22"/>
              </w:rPr>
              <w:t xml:space="preserve">The project will provide a non-European counterpoint to the Tobacco, Health and History project at Leicester. It will also bring cultural heritage research and Indigenous revitalization in closer dialogue, for example around the revival of </w:t>
            </w:r>
            <w:r>
              <w:rPr>
                <w:rFonts w:ascii="Calibri" w:hAnsi="Calibri" w:cs="Calibri"/>
                <w:i/>
                <w:iCs/>
                <w:sz w:val="22"/>
                <w:szCs w:val="22"/>
              </w:rPr>
              <w:t>cohoba</w:t>
            </w:r>
            <w:r>
              <w:rPr>
                <w:rFonts w:ascii="Calibri" w:hAnsi="Calibri" w:cs="Calibri"/>
                <w:sz w:val="22"/>
                <w:szCs w:val="22"/>
              </w:rPr>
              <w:t xml:space="preserve"> rituals in Puerto Rico and the ontological tensions this raises. Revealing more about the role of intoxicants in people’s lives and cosmologies can enhance our understanding of why people use drugs in different groups and contexts. This can inform insights into modern drug use and how and why it can become problematic. </w:t>
            </w:r>
            <w:r w:rsidR="003515D2" w:rsidRPr="00A03B1B">
              <w:t xml:space="preserve"> </w:t>
            </w:r>
          </w:p>
          <w:p w14:paraId="7C1BD12B" w14:textId="77777777" w:rsidR="002E42E1" w:rsidRDefault="002E42E1" w:rsidP="0066523E">
            <w:pPr>
              <w:autoSpaceDE w:val="0"/>
              <w:autoSpaceDN w:val="0"/>
              <w:rPr>
                <w:color w:val="FF0000"/>
              </w:rPr>
            </w:pPr>
          </w:p>
          <w:p w14:paraId="64641821" w14:textId="1B0724CF" w:rsidR="0066523E" w:rsidRPr="001703BD" w:rsidRDefault="0066523E" w:rsidP="0066523E">
            <w:pPr>
              <w:autoSpaceDE w:val="0"/>
              <w:autoSpaceDN w:val="0"/>
              <w:rPr>
                <w:rFonts w:ascii="Segoe UI" w:hAnsi="Segoe UI" w:cs="Segoe UI"/>
                <w:sz w:val="18"/>
                <w:szCs w:val="18"/>
              </w:rPr>
            </w:pPr>
            <w:r w:rsidRPr="0066523E">
              <w:rPr>
                <w:color w:val="auto"/>
              </w:rPr>
              <w:t xml:space="preserve">Refs: </w:t>
            </w:r>
          </w:p>
          <w:p w14:paraId="4DE5D7B7" w14:textId="55E635D0" w:rsidR="0054375C" w:rsidRDefault="0054375C" w:rsidP="0066523E">
            <w:pPr>
              <w:autoSpaceDE w:val="0"/>
              <w:autoSpaceDN w:val="0"/>
              <w:rPr>
                <w:rFonts w:ascii="Segoe UI" w:hAnsi="Segoe UI" w:cs="Segoe UI"/>
                <w:sz w:val="18"/>
                <w:szCs w:val="18"/>
              </w:rPr>
            </w:pPr>
            <w:r w:rsidRPr="0054375C">
              <w:rPr>
                <w:rFonts w:ascii="Segoe UI" w:hAnsi="Segoe UI" w:cs="Segoe UI"/>
                <w:sz w:val="18"/>
                <w:szCs w:val="18"/>
              </w:rPr>
              <w:t xml:space="preserve">Carmody, S., J. Davis, S. Tadi, J. S. Sharp, R. K. Hunt, and J. Russ. 2018. 'Evidence of tobacco from a Late Archaic smoking tube recovered from the Flint River site in southeastern North America', </w:t>
            </w:r>
            <w:r w:rsidRPr="0054375C">
              <w:rPr>
                <w:rFonts w:ascii="Segoe UI" w:hAnsi="Segoe UI" w:cs="Segoe UI"/>
                <w:i/>
                <w:sz w:val="18"/>
                <w:szCs w:val="18"/>
              </w:rPr>
              <w:t>Journal of archaeological science</w:t>
            </w:r>
            <w:r w:rsidRPr="0054375C">
              <w:rPr>
                <w:rFonts w:ascii="Segoe UI" w:hAnsi="Segoe UI" w:cs="Segoe UI"/>
                <w:sz w:val="18"/>
                <w:szCs w:val="18"/>
              </w:rPr>
              <w:t xml:space="preserve">, reports, 21: 904-10. </w:t>
            </w:r>
          </w:p>
          <w:p w14:paraId="7BAB590E" w14:textId="51BCF971" w:rsidR="0054375C" w:rsidRDefault="0054375C" w:rsidP="0066523E">
            <w:pPr>
              <w:autoSpaceDE w:val="0"/>
              <w:autoSpaceDN w:val="0"/>
              <w:rPr>
                <w:rFonts w:ascii="Segoe UI" w:hAnsi="Segoe UI" w:cs="Segoe UI"/>
                <w:sz w:val="18"/>
                <w:szCs w:val="18"/>
              </w:rPr>
            </w:pPr>
            <w:r w:rsidRPr="0054375C">
              <w:rPr>
                <w:rFonts w:ascii="Segoe UI" w:hAnsi="Segoe UI" w:cs="Segoe UI"/>
                <w:sz w:val="18"/>
                <w:szCs w:val="18"/>
                <w:lang w:val="es-ES"/>
              </w:rPr>
              <w:lastRenderedPageBreak/>
              <w:t xml:space="preserve">Echeverría, Javier, María Teresa Planella, and Hermann M. Niemeyer. </w:t>
            </w:r>
            <w:r w:rsidRPr="0054375C">
              <w:rPr>
                <w:rFonts w:ascii="Segoe UI" w:hAnsi="Segoe UI" w:cs="Segoe UI"/>
                <w:sz w:val="18"/>
                <w:szCs w:val="18"/>
              </w:rPr>
              <w:t>2014. 'Nicotine in residues of smoking pipes and other artifacts of the smoking complex from an Early Ceramic period archaeological site in central Chile', Journal of Archaeological Science, 44: 55-60.</w:t>
            </w:r>
          </w:p>
          <w:p w14:paraId="6EFE9B94" w14:textId="2F403960" w:rsidR="0066523E" w:rsidRPr="001703BD" w:rsidRDefault="0066523E" w:rsidP="0066523E">
            <w:pPr>
              <w:autoSpaceDE w:val="0"/>
              <w:autoSpaceDN w:val="0"/>
              <w:rPr>
                <w:rFonts w:ascii="Segoe UI" w:hAnsi="Segoe UI" w:cs="Segoe UI"/>
                <w:sz w:val="18"/>
                <w:szCs w:val="18"/>
              </w:rPr>
            </w:pPr>
            <w:r w:rsidRPr="001703BD">
              <w:rPr>
                <w:rFonts w:ascii="Segoe UI" w:hAnsi="Segoe UI" w:cs="Segoe UI"/>
                <w:sz w:val="18"/>
                <w:szCs w:val="18"/>
              </w:rPr>
              <w:t xml:space="preserve">Ostapkowicz, Joanna. 2020. 'Conduits to the supernatural: Bifurcated snuff tubes in the pre-Columbian Caribbean', </w:t>
            </w:r>
            <w:r w:rsidRPr="001703BD">
              <w:rPr>
                <w:rFonts w:ascii="Segoe UI" w:hAnsi="Segoe UI" w:cs="Segoe UI"/>
                <w:i/>
                <w:iCs/>
                <w:sz w:val="18"/>
                <w:szCs w:val="18"/>
              </w:rPr>
              <w:t>Journal of Caribbean Archaeology</w:t>
            </w:r>
            <w:r w:rsidRPr="001703BD">
              <w:rPr>
                <w:rFonts w:ascii="Segoe UI" w:hAnsi="Segoe UI" w:cs="Segoe UI"/>
                <w:sz w:val="18"/>
                <w:szCs w:val="18"/>
              </w:rPr>
              <w:t>, 20: 45-67.</w:t>
            </w:r>
          </w:p>
          <w:p w14:paraId="76C0F031" w14:textId="3C57CB4C" w:rsidR="0066523E" w:rsidRPr="002E42E1" w:rsidRDefault="0066523E" w:rsidP="002E42E1">
            <w:pPr>
              <w:autoSpaceDE w:val="0"/>
              <w:autoSpaceDN w:val="0"/>
              <w:rPr>
                <w:rFonts w:ascii="Segoe UI" w:hAnsi="Segoe UI" w:cs="Segoe UI"/>
                <w:sz w:val="18"/>
                <w:szCs w:val="18"/>
              </w:rPr>
            </w:pPr>
            <w:r w:rsidRPr="001703BD">
              <w:rPr>
                <w:rFonts w:ascii="Segoe UI" w:hAnsi="Segoe UI" w:cs="Segoe UI"/>
                <w:sz w:val="18"/>
                <w:szCs w:val="18"/>
              </w:rPr>
              <w:t xml:space="preserve">Pagán-Jiménez, Jaime, and Lisabeth Carlson. 2014. 'Recent Archaeobotanical Findings of the Hallucinogenic Snuff Cojoba (Anadenanthera Peregrin A (L.) Speg.) in Precolonial Puerto Rico', </w:t>
            </w:r>
            <w:r w:rsidRPr="001703BD">
              <w:rPr>
                <w:rFonts w:ascii="Segoe UI" w:hAnsi="Segoe UI" w:cs="Segoe UI"/>
                <w:i/>
                <w:iCs/>
                <w:sz w:val="18"/>
                <w:szCs w:val="18"/>
              </w:rPr>
              <w:t>Latin American Antiquity</w:t>
            </w:r>
            <w:r w:rsidRPr="001703BD">
              <w:rPr>
                <w:rFonts w:ascii="Segoe UI" w:hAnsi="Segoe UI" w:cs="Segoe UI"/>
                <w:sz w:val="18"/>
                <w:szCs w:val="18"/>
              </w:rPr>
              <w:t>, 25: 101–16.</w:t>
            </w:r>
          </w:p>
        </w:tc>
      </w:tr>
      <w:tr w:rsidR="006E6127" w14:paraId="3C704C93" w14:textId="77777777" w:rsidTr="00F032DC">
        <w:tc>
          <w:tcPr>
            <w:tcW w:w="9016" w:type="dxa"/>
            <w:gridSpan w:val="4"/>
            <w:shd w:val="clear" w:color="auto" w:fill="F2F2F2" w:themeFill="background1" w:themeFillShade="F2"/>
          </w:tcPr>
          <w:p w14:paraId="3591FBA9" w14:textId="63EB9B2D" w:rsidR="006E6127" w:rsidRDefault="0023475C" w:rsidP="0023475C">
            <w:pPr>
              <w:rPr>
                <w:b/>
              </w:rPr>
            </w:pPr>
            <w:r>
              <w:rPr>
                <w:b/>
              </w:rPr>
              <w:lastRenderedPageBreak/>
              <w:t xml:space="preserve">Methodology </w:t>
            </w:r>
            <w:r w:rsidR="006E6127">
              <w:rPr>
                <w:b/>
              </w:rPr>
              <w:t xml:space="preserve"> </w:t>
            </w:r>
          </w:p>
        </w:tc>
      </w:tr>
      <w:tr w:rsidR="006E6127" w14:paraId="336CD0D6" w14:textId="77777777" w:rsidTr="00F032DC">
        <w:tc>
          <w:tcPr>
            <w:tcW w:w="9016" w:type="dxa"/>
            <w:gridSpan w:val="4"/>
            <w:tcBorders>
              <w:bottom w:val="single" w:sz="4" w:space="0" w:color="auto"/>
            </w:tcBorders>
          </w:tcPr>
          <w:p w14:paraId="6AD8F1B2" w14:textId="3B10F6C2" w:rsidR="00E260DA" w:rsidRDefault="00E260DA" w:rsidP="00E260DA">
            <w:pPr>
              <w:pStyle w:val="xmsocommenttext"/>
              <w:rPr>
                <w:sz w:val="20"/>
                <w:szCs w:val="20"/>
              </w:rPr>
            </w:pPr>
            <w:r>
              <w:rPr>
                <w:rFonts w:ascii="Calibri" w:hAnsi="Calibri" w:cs="Calibri"/>
                <w:color w:val="000000"/>
                <w:sz w:val="22"/>
                <w:szCs w:val="22"/>
              </w:rPr>
              <w:t>The suitable candidate will have a background in archaeological science or relevant equivalent experience. You will combine ethnohistoric sources, material culture analysis, and data derived from the scientific analysis of samples to identify compounds relating to drug use on artefacts and to address the broader issue of how such substances are socially managed and controlled in the Indigenous Caribbean. Research questions include: What different types of intoxicants can we find?; How does this compare to ethnohistorical sources?; Are particular intoxicants associated with particular types of objects and contexts?</w:t>
            </w:r>
          </w:p>
          <w:p w14:paraId="3B367680" w14:textId="74736E59" w:rsidR="006E6127" w:rsidRPr="00E260DA" w:rsidRDefault="00E260DA" w:rsidP="00E260DA">
            <w:pPr>
              <w:pStyle w:val="xmsonormal"/>
              <w:autoSpaceDE w:val="0"/>
              <w:autoSpaceDN w:val="0"/>
              <w:rPr>
                <w:rFonts w:ascii="Calibri" w:hAnsi="Calibri" w:cs="Calibri"/>
                <w:sz w:val="22"/>
                <w:szCs w:val="22"/>
              </w:rPr>
            </w:pPr>
            <w:r>
              <w:rPr>
                <w:rFonts w:ascii="Calibri" w:hAnsi="Calibri" w:cs="Calibri"/>
                <w:sz w:val="22"/>
                <w:szCs w:val="22"/>
              </w:rPr>
              <w:t xml:space="preserve">The geographical focus is Dominican Republic/Haiti and Puerto Rico where relevant collections are available in the Caribbean and the UK. The student will 1) synthesise data from early European sources on Indigenous rituals and drug use, 2) identify drug paraphernalia and how it was used (i.e. smoking/snuffing/drinking) and take samples of residue scrapings, and 3) analyse samples to identify the compounds used via analytical chemistry and metabolomics. A multianalytical platform combining targeted and generalised approaches is suitable for archaeological materials.  </w:t>
            </w:r>
          </w:p>
        </w:tc>
      </w:tr>
      <w:tr w:rsidR="006E6127" w14:paraId="286272D8" w14:textId="77777777" w:rsidTr="00F032DC">
        <w:tc>
          <w:tcPr>
            <w:tcW w:w="2352" w:type="dxa"/>
            <w:gridSpan w:val="2"/>
            <w:shd w:val="clear" w:color="auto" w:fill="F2F2F2" w:themeFill="background1" w:themeFillShade="F2"/>
          </w:tcPr>
          <w:p w14:paraId="52184062" w14:textId="782DD5B3" w:rsidR="006E6127" w:rsidRPr="00982DBC" w:rsidRDefault="0023475C" w:rsidP="005D7571">
            <w:pPr>
              <w:rPr>
                <w:b/>
              </w:rPr>
            </w:pPr>
            <w:r>
              <w:rPr>
                <w:b/>
              </w:rPr>
              <w:t>References</w:t>
            </w:r>
          </w:p>
        </w:tc>
        <w:tc>
          <w:tcPr>
            <w:tcW w:w="6664" w:type="dxa"/>
            <w:gridSpan w:val="2"/>
          </w:tcPr>
          <w:p w14:paraId="6BE6C60C" w14:textId="77777777" w:rsidR="00EE1F74" w:rsidRDefault="00EE1F74" w:rsidP="00EE1F74">
            <w:pPr>
              <w:autoSpaceDE w:val="0"/>
              <w:autoSpaceDN w:val="0"/>
              <w:adjustRightInd w:val="0"/>
              <w:ind w:left="720" w:hanging="720"/>
              <w:rPr>
                <w:rFonts w:ascii="Segoe UI" w:eastAsiaTheme="minorHAnsi" w:hAnsi="Segoe UI" w:cs="Segoe UI"/>
                <w:color w:val="auto"/>
                <w:sz w:val="18"/>
                <w:szCs w:val="18"/>
                <w:lang w:eastAsia="en-US"/>
              </w:rPr>
            </w:pPr>
            <w:r>
              <w:rPr>
                <w:rFonts w:ascii="Segoe UI" w:eastAsiaTheme="minorHAnsi" w:hAnsi="Segoe UI" w:cs="Segoe UI"/>
                <w:color w:val="auto"/>
                <w:sz w:val="18"/>
                <w:szCs w:val="18"/>
                <w:lang w:eastAsia="en-US"/>
              </w:rPr>
              <w:t xml:space="preserve">Collins, James A., Andrew S. Carr, Enno Schefuß, Arnoud </w:t>
            </w:r>
            <w:r w:rsidRPr="00EE1F74">
              <w:rPr>
                <w:rFonts w:ascii="Segoe UI" w:eastAsiaTheme="minorHAnsi" w:hAnsi="Segoe UI" w:cs="Segoe UI"/>
                <w:b/>
                <w:color w:val="auto"/>
                <w:sz w:val="18"/>
                <w:szCs w:val="18"/>
                <w:lang w:eastAsia="en-US"/>
              </w:rPr>
              <w:t>Boom</w:t>
            </w:r>
            <w:r>
              <w:rPr>
                <w:rFonts w:ascii="Segoe UI" w:eastAsiaTheme="minorHAnsi" w:hAnsi="Segoe UI" w:cs="Segoe UI"/>
                <w:color w:val="auto"/>
                <w:sz w:val="18"/>
                <w:szCs w:val="18"/>
                <w:lang w:eastAsia="en-US"/>
              </w:rPr>
              <w:t xml:space="preserve">, and Judith Sealy. 2017. 'Investigation of organic matter and biomarkers from Diepkloof Rock Shelter, South Africa: Insights into Middle Stone Age site usage and palaeoclimate', </w:t>
            </w:r>
            <w:r>
              <w:rPr>
                <w:rFonts w:ascii="Segoe UI" w:eastAsiaTheme="minorHAnsi" w:hAnsi="Segoe UI" w:cs="Segoe UI"/>
                <w:i/>
                <w:iCs/>
                <w:color w:val="auto"/>
                <w:sz w:val="18"/>
                <w:szCs w:val="18"/>
                <w:lang w:eastAsia="en-US"/>
              </w:rPr>
              <w:t>Journal of Archaeological Science</w:t>
            </w:r>
            <w:r>
              <w:rPr>
                <w:rFonts w:ascii="Segoe UI" w:eastAsiaTheme="minorHAnsi" w:hAnsi="Segoe UI" w:cs="Segoe UI"/>
                <w:color w:val="auto"/>
                <w:sz w:val="18"/>
                <w:szCs w:val="18"/>
                <w:lang w:eastAsia="en-US"/>
              </w:rPr>
              <w:t>, 85: 51-65.</w:t>
            </w:r>
          </w:p>
          <w:p w14:paraId="0F48AFC6" w14:textId="77777777" w:rsidR="00EE1F74" w:rsidRDefault="00EE1F74" w:rsidP="00EE1F74">
            <w:pPr>
              <w:autoSpaceDE w:val="0"/>
              <w:autoSpaceDN w:val="0"/>
              <w:adjustRightInd w:val="0"/>
              <w:ind w:left="720" w:hanging="720"/>
              <w:rPr>
                <w:rFonts w:ascii="Segoe UI" w:eastAsiaTheme="minorHAnsi" w:hAnsi="Segoe UI" w:cs="Segoe UI"/>
                <w:color w:val="auto"/>
                <w:sz w:val="18"/>
                <w:szCs w:val="18"/>
                <w:lang w:eastAsia="en-US"/>
              </w:rPr>
            </w:pPr>
            <w:r w:rsidRPr="00EE1F74">
              <w:rPr>
                <w:rFonts w:ascii="Segoe UI" w:eastAsiaTheme="minorHAnsi" w:hAnsi="Segoe UI" w:cs="Segoe UI"/>
                <w:b/>
                <w:color w:val="auto"/>
                <w:sz w:val="18"/>
                <w:szCs w:val="18"/>
                <w:lang w:eastAsia="en-US"/>
              </w:rPr>
              <w:t>Cooper</w:t>
            </w:r>
            <w:r>
              <w:rPr>
                <w:rFonts w:ascii="Segoe UI" w:eastAsiaTheme="minorHAnsi" w:hAnsi="Segoe UI" w:cs="Segoe UI"/>
                <w:color w:val="auto"/>
                <w:sz w:val="18"/>
                <w:szCs w:val="18"/>
                <w:lang w:eastAsia="en-US"/>
              </w:rPr>
              <w:t xml:space="preserve">, Jago, Alice V. M. </w:t>
            </w:r>
            <w:r w:rsidRPr="00EE1F74">
              <w:rPr>
                <w:rFonts w:ascii="Segoe UI" w:eastAsiaTheme="minorHAnsi" w:hAnsi="Segoe UI" w:cs="Segoe UI"/>
                <w:b/>
                <w:color w:val="auto"/>
                <w:sz w:val="18"/>
                <w:szCs w:val="18"/>
                <w:lang w:eastAsia="en-US"/>
              </w:rPr>
              <w:t>Samson</w:t>
            </w:r>
            <w:r>
              <w:rPr>
                <w:rFonts w:ascii="Segoe UI" w:eastAsiaTheme="minorHAnsi" w:hAnsi="Segoe UI" w:cs="Segoe UI"/>
                <w:color w:val="auto"/>
                <w:sz w:val="18"/>
                <w:szCs w:val="18"/>
                <w:lang w:eastAsia="en-US"/>
              </w:rPr>
              <w:t xml:space="preserve">, Miguel Antonio Nieves, Michael J. Lace, Josué Caamaño-Dones, Patricia N. Kambesis, Caroline Cartwright, and Laura del Olmo Frese. 2016. 'The Mona Chronicle: The archaeology of early religious encounter in the New World', </w:t>
            </w:r>
            <w:r>
              <w:rPr>
                <w:rFonts w:ascii="Segoe UI" w:eastAsiaTheme="minorHAnsi" w:hAnsi="Segoe UI" w:cs="Segoe UI"/>
                <w:i/>
                <w:iCs/>
                <w:color w:val="auto"/>
                <w:sz w:val="18"/>
                <w:szCs w:val="18"/>
                <w:lang w:eastAsia="en-US"/>
              </w:rPr>
              <w:t>ANTIQUITY</w:t>
            </w:r>
            <w:r>
              <w:rPr>
                <w:rFonts w:ascii="Segoe UI" w:eastAsiaTheme="minorHAnsi" w:hAnsi="Segoe UI" w:cs="Segoe UI"/>
                <w:color w:val="auto"/>
                <w:sz w:val="18"/>
                <w:szCs w:val="18"/>
                <w:lang w:eastAsia="en-US"/>
              </w:rPr>
              <w:t>, 90: 1054-71.</w:t>
            </w:r>
          </w:p>
          <w:p w14:paraId="728C0AAE" w14:textId="77777777" w:rsidR="00EE1F74" w:rsidRDefault="00EE1F74" w:rsidP="00EE1F74">
            <w:pPr>
              <w:autoSpaceDE w:val="0"/>
              <w:autoSpaceDN w:val="0"/>
              <w:adjustRightInd w:val="0"/>
              <w:ind w:left="720" w:hanging="720"/>
              <w:rPr>
                <w:rFonts w:ascii="Segoe UI" w:eastAsiaTheme="minorHAnsi" w:hAnsi="Segoe UI" w:cs="Segoe UI"/>
                <w:color w:val="auto"/>
                <w:sz w:val="18"/>
                <w:szCs w:val="18"/>
                <w:lang w:eastAsia="en-US"/>
              </w:rPr>
            </w:pPr>
            <w:r w:rsidRPr="00EE1F74">
              <w:rPr>
                <w:rFonts w:ascii="Segoe UI" w:eastAsiaTheme="minorHAnsi" w:hAnsi="Segoe UI" w:cs="Segoe UI"/>
                <w:b/>
                <w:color w:val="auto"/>
                <w:sz w:val="18"/>
                <w:szCs w:val="18"/>
                <w:lang w:eastAsia="en-US"/>
              </w:rPr>
              <w:t>Inskip</w:t>
            </w:r>
            <w:r>
              <w:rPr>
                <w:rFonts w:ascii="Segoe UI" w:eastAsiaTheme="minorHAnsi" w:hAnsi="Segoe UI" w:cs="Segoe UI"/>
                <w:color w:val="auto"/>
                <w:sz w:val="18"/>
                <w:szCs w:val="18"/>
                <w:lang w:eastAsia="en-US"/>
              </w:rPr>
              <w:t xml:space="preserve">, Sarah A., G. Michael Taylor, Sonia R. Zakrzewski, Simon A. Mays, Alistair W. G. Pike, Gareth Llewellyn, Christopher M. Williams, Oona Y. C. Lee, Houdini H. T. Wu, David E. Minnikin, Gurdyal S. Besra, and Graham R. Stewart. 2015. 'Osteological, biomolecular and geochemical examination of an early Anglo-Saxon case of lepromatous leprosy', </w:t>
            </w:r>
            <w:r>
              <w:rPr>
                <w:rFonts w:ascii="Segoe UI" w:eastAsiaTheme="minorHAnsi" w:hAnsi="Segoe UI" w:cs="Segoe UI"/>
                <w:i/>
                <w:iCs/>
                <w:color w:val="auto"/>
                <w:sz w:val="18"/>
                <w:szCs w:val="18"/>
                <w:lang w:eastAsia="en-US"/>
              </w:rPr>
              <w:t>PloS one</w:t>
            </w:r>
            <w:r>
              <w:rPr>
                <w:rFonts w:ascii="Segoe UI" w:eastAsiaTheme="minorHAnsi" w:hAnsi="Segoe UI" w:cs="Segoe UI"/>
                <w:color w:val="auto"/>
                <w:sz w:val="18"/>
                <w:szCs w:val="18"/>
                <w:lang w:eastAsia="en-US"/>
              </w:rPr>
              <w:t>, 10: e0124282-e82.</w:t>
            </w:r>
          </w:p>
          <w:p w14:paraId="0182A78E" w14:textId="77777777" w:rsidR="00EE1F74" w:rsidRDefault="00EE1F74" w:rsidP="00EE1F74">
            <w:pPr>
              <w:autoSpaceDE w:val="0"/>
              <w:autoSpaceDN w:val="0"/>
              <w:adjustRightInd w:val="0"/>
              <w:ind w:left="720" w:hanging="720"/>
              <w:rPr>
                <w:rFonts w:ascii="Segoe UI" w:eastAsiaTheme="minorHAnsi" w:hAnsi="Segoe UI" w:cs="Segoe UI"/>
                <w:color w:val="auto"/>
                <w:sz w:val="18"/>
                <w:szCs w:val="18"/>
                <w:lang w:eastAsia="en-US"/>
              </w:rPr>
            </w:pPr>
            <w:r w:rsidRPr="00EE1F74">
              <w:rPr>
                <w:rFonts w:ascii="Segoe UI" w:eastAsiaTheme="minorHAnsi" w:hAnsi="Segoe UI" w:cs="Segoe UI"/>
                <w:b/>
                <w:color w:val="auto"/>
                <w:sz w:val="18"/>
                <w:szCs w:val="18"/>
                <w:lang w:eastAsia="en-US"/>
              </w:rPr>
              <w:t>Inskip</w:t>
            </w:r>
            <w:r>
              <w:rPr>
                <w:rFonts w:ascii="Segoe UI" w:eastAsiaTheme="minorHAnsi" w:hAnsi="Segoe UI" w:cs="Segoe UI"/>
                <w:color w:val="auto"/>
                <w:sz w:val="18"/>
                <w:szCs w:val="18"/>
                <w:lang w:eastAsia="en-US"/>
              </w:rPr>
              <w:t xml:space="preserve">, Sarah A., L. Zachary, Maria Serrano Ruber, and Menno L. P. Hoogland. accepted. 'The impact of pipe smoking on Dutch dental health. An archaeological perspective', </w:t>
            </w:r>
            <w:r>
              <w:rPr>
                <w:rFonts w:ascii="Segoe UI" w:eastAsiaTheme="minorHAnsi" w:hAnsi="Segoe UI" w:cs="Segoe UI"/>
                <w:i/>
                <w:iCs/>
                <w:color w:val="auto"/>
                <w:sz w:val="18"/>
                <w:szCs w:val="18"/>
                <w:lang w:eastAsia="en-US"/>
              </w:rPr>
              <w:t>Post Medieval Archaeology</w:t>
            </w:r>
            <w:r>
              <w:rPr>
                <w:rFonts w:ascii="Segoe UI" w:eastAsiaTheme="minorHAnsi" w:hAnsi="Segoe UI" w:cs="Segoe UI"/>
                <w:color w:val="auto"/>
                <w:sz w:val="18"/>
                <w:szCs w:val="18"/>
                <w:lang w:eastAsia="en-US"/>
              </w:rPr>
              <w:t>.</w:t>
            </w:r>
          </w:p>
          <w:p w14:paraId="0C62AD42" w14:textId="77777777" w:rsidR="00EE1F74" w:rsidRDefault="00EE1F74" w:rsidP="00EE1F74">
            <w:pPr>
              <w:autoSpaceDE w:val="0"/>
              <w:autoSpaceDN w:val="0"/>
              <w:adjustRightInd w:val="0"/>
              <w:ind w:left="720" w:hanging="720"/>
              <w:rPr>
                <w:rFonts w:ascii="Segoe UI" w:eastAsiaTheme="minorHAnsi" w:hAnsi="Segoe UI" w:cs="Segoe UI"/>
                <w:color w:val="auto"/>
                <w:sz w:val="18"/>
                <w:szCs w:val="18"/>
                <w:lang w:eastAsia="en-US"/>
              </w:rPr>
            </w:pPr>
            <w:r>
              <w:rPr>
                <w:rFonts w:ascii="Segoe UI" w:eastAsiaTheme="minorHAnsi" w:hAnsi="Segoe UI" w:cs="Segoe UI"/>
                <w:color w:val="auto"/>
                <w:sz w:val="18"/>
                <w:szCs w:val="18"/>
                <w:lang w:eastAsia="en-US"/>
              </w:rPr>
              <w:t xml:space="preserve">McCoy, Victoria E., Arnoud </w:t>
            </w:r>
            <w:r w:rsidRPr="00EE1F74">
              <w:rPr>
                <w:rFonts w:ascii="Segoe UI" w:eastAsiaTheme="minorHAnsi" w:hAnsi="Segoe UI" w:cs="Segoe UI"/>
                <w:b/>
                <w:color w:val="auto"/>
                <w:sz w:val="18"/>
                <w:szCs w:val="18"/>
                <w:lang w:eastAsia="en-US"/>
              </w:rPr>
              <w:t>Boom</w:t>
            </w:r>
            <w:r>
              <w:rPr>
                <w:rFonts w:ascii="Segoe UI" w:eastAsiaTheme="minorHAnsi" w:hAnsi="Segoe UI" w:cs="Segoe UI"/>
                <w:color w:val="auto"/>
                <w:sz w:val="18"/>
                <w:szCs w:val="18"/>
                <w:lang w:eastAsia="en-US"/>
              </w:rPr>
              <w:t xml:space="preserve">, Mónica M. Solórzano Kraemer, and Sarah E. Gabbott. 2017. 'The chemistry of American and African amber, copal, and resin from the genus Hymenaea', </w:t>
            </w:r>
            <w:r>
              <w:rPr>
                <w:rFonts w:ascii="Segoe UI" w:eastAsiaTheme="minorHAnsi" w:hAnsi="Segoe UI" w:cs="Segoe UI"/>
                <w:i/>
                <w:iCs/>
                <w:color w:val="auto"/>
                <w:sz w:val="18"/>
                <w:szCs w:val="18"/>
                <w:lang w:eastAsia="en-US"/>
              </w:rPr>
              <w:t>Organic geochemistry</w:t>
            </w:r>
            <w:r>
              <w:rPr>
                <w:rFonts w:ascii="Segoe UI" w:eastAsiaTheme="minorHAnsi" w:hAnsi="Segoe UI" w:cs="Segoe UI"/>
                <w:color w:val="auto"/>
                <w:sz w:val="18"/>
                <w:szCs w:val="18"/>
                <w:lang w:eastAsia="en-US"/>
              </w:rPr>
              <w:t>, 113: 43-54.</w:t>
            </w:r>
          </w:p>
          <w:p w14:paraId="717C072D" w14:textId="719199E0" w:rsidR="00BB165D" w:rsidRPr="00EE1F74" w:rsidRDefault="00EE1F74" w:rsidP="00EE1F74">
            <w:pPr>
              <w:autoSpaceDE w:val="0"/>
              <w:autoSpaceDN w:val="0"/>
              <w:adjustRightInd w:val="0"/>
              <w:ind w:left="720" w:hanging="720"/>
              <w:rPr>
                <w:rFonts w:ascii="Segoe UI" w:eastAsiaTheme="minorHAnsi" w:hAnsi="Segoe UI" w:cs="Segoe UI"/>
                <w:color w:val="auto"/>
                <w:sz w:val="18"/>
                <w:szCs w:val="18"/>
                <w:lang w:eastAsia="en-US"/>
              </w:rPr>
            </w:pPr>
            <w:r w:rsidRPr="00EE1F74">
              <w:rPr>
                <w:rFonts w:ascii="Segoe UI" w:eastAsiaTheme="minorHAnsi" w:hAnsi="Segoe UI" w:cs="Segoe UI"/>
                <w:b/>
                <w:color w:val="auto"/>
                <w:sz w:val="18"/>
                <w:szCs w:val="18"/>
                <w:lang w:eastAsia="en-US"/>
              </w:rPr>
              <w:t>Samson</w:t>
            </w:r>
            <w:r>
              <w:rPr>
                <w:rFonts w:ascii="Segoe UI" w:eastAsiaTheme="minorHAnsi" w:hAnsi="Segoe UI" w:cs="Segoe UI"/>
                <w:color w:val="auto"/>
                <w:sz w:val="18"/>
                <w:szCs w:val="18"/>
                <w:lang w:eastAsia="en-US"/>
              </w:rPr>
              <w:t xml:space="preserve">, Alice V. M., Lucy J. Wrapson, Caroline R. Cartwright, Diana Sahy, Rebecca J. Stacey, and Jago </w:t>
            </w:r>
            <w:r w:rsidRPr="00EE1F74">
              <w:rPr>
                <w:rFonts w:ascii="Segoe UI" w:eastAsiaTheme="minorHAnsi" w:hAnsi="Segoe UI" w:cs="Segoe UI"/>
                <w:b/>
                <w:color w:val="auto"/>
                <w:sz w:val="18"/>
                <w:szCs w:val="18"/>
                <w:lang w:eastAsia="en-US"/>
              </w:rPr>
              <w:t>Cooper</w:t>
            </w:r>
            <w:r>
              <w:rPr>
                <w:rFonts w:ascii="Segoe UI" w:eastAsiaTheme="minorHAnsi" w:hAnsi="Segoe UI" w:cs="Segoe UI"/>
                <w:color w:val="auto"/>
                <w:sz w:val="18"/>
                <w:szCs w:val="18"/>
                <w:lang w:eastAsia="en-US"/>
              </w:rPr>
              <w:t xml:space="preserve">. 2017. 'Artists before Columbus: A multi-method characterization of the materials and practices of Caribbean cave art', </w:t>
            </w:r>
            <w:r>
              <w:rPr>
                <w:rFonts w:ascii="Segoe UI" w:eastAsiaTheme="minorHAnsi" w:hAnsi="Segoe UI" w:cs="Segoe UI"/>
                <w:i/>
                <w:iCs/>
                <w:color w:val="auto"/>
                <w:sz w:val="18"/>
                <w:szCs w:val="18"/>
                <w:lang w:eastAsia="en-US"/>
              </w:rPr>
              <w:t>Journal of Archaeological Science</w:t>
            </w:r>
            <w:r>
              <w:rPr>
                <w:rFonts w:ascii="Segoe UI" w:eastAsiaTheme="minorHAnsi" w:hAnsi="Segoe UI" w:cs="Segoe UI"/>
                <w:color w:val="auto"/>
                <w:sz w:val="18"/>
                <w:szCs w:val="18"/>
                <w:lang w:eastAsia="en-US"/>
              </w:rPr>
              <w:t>, 88: 24-36.</w:t>
            </w:r>
          </w:p>
          <w:p w14:paraId="076AD462" w14:textId="77777777" w:rsidR="006E6127" w:rsidRDefault="006E6127" w:rsidP="00570BEC"/>
        </w:tc>
      </w:tr>
    </w:tbl>
    <w:p w14:paraId="0A4D3174" w14:textId="77777777" w:rsidR="00973B60" w:rsidRDefault="00973B60" w:rsidP="00477FE3">
      <w:pPr>
        <w:spacing w:after="0" w:line="240" w:lineRule="auto"/>
      </w:pPr>
    </w:p>
    <w:sectPr w:rsidR="00973B60" w:rsidSect="00477FE3">
      <w:pgSz w:w="11906" w:h="16838"/>
      <w:pgMar w:top="1276" w:right="1135" w:bottom="709" w:left="1133" w:header="720" w:footer="889"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5C4778" w16cex:dateUtc="2021-12-09T09:14:00Z"/>
  <w16cex:commentExtensible w16cex:durableId="255C479C" w16cex:dateUtc="2021-12-09T09:15:00Z"/>
  <w16cex:commentExtensible w16cex:durableId="255C47B9" w16cex:dateUtc="2021-12-09T09:15:00Z"/>
  <w16cex:commentExtensible w16cex:durableId="255C47D4" w16cex:dateUtc="2021-12-09T09:16:00Z"/>
  <w16cex:commentExtensible w16cex:durableId="255C47FB" w16cex:dateUtc="2021-12-09T09:16:00Z"/>
  <w16cex:commentExtensible w16cex:durableId="255C48B8" w16cex:dateUtc="2021-12-09T09:19:00Z"/>
  <w16cex:commentExtensible w16cex:durableId="255C48A1" w16cex:dateUtc="2021-12-09T09:19:00Z"/>
  <w16cex:commentExtensible w16cex:durableId="255C49AC" w16cex:dateUtc="2021-12-09T09:2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80D67CF" w16cid:durableId="255C4778"/>
  <w16cid:commentId w16cid:paraId="280A7815" w16cid:durableId="255C479C"/>
  <w16cid:commentId w16cid:paraId="2F62D2EC" w16cid:durableId="255C47B9"/>
  <w16cid:commentId w16cid:paraId="38B41766" w16cid:durableId="255C47D4"/>
  <w16cid:commentId w16cid:paraId="6A544F6F" w16cid:durableId="255C47FB"/>
  <w16cid:commentId w16cid:paraId="3C7C1F64" w16cid:durableId="255C48B8"/>
  <w16cid:commentId w16cid:paraId="6D9B6EA9" w16cid:durableId="255C48A1"/>
  <w16cid:commentId w16cid:paraId="537FAA8B" w16cid:durableId="255C49A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67BF2F" w14:textId="77777777" w:rsidR="00306D13" w:rsidRDefault="00306D13" w:rsidP="006E6127">
      <w:pPr>
        <w:spacing w:after="0" w:line="240" w:lineRule="auto"/>
      </w:pPr>
      <w:r>
        <w:separator/>
      </w:r>
    </w:p>
  </w:endnote>
  <w:endnote w:type="continuationSeparator" w:id="0">
    <w:p w14:paraId="3209D30A" w14:textId="77777777" w:rsidR="00306D13" w:rsidRDefault="00306D13" w:rsidP="006E61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42B150" w14:textId="77777777" w:rsidR="00306D13" w:rsidRDefault="00306D13" w:rsidP="006E6127">
      <w:pPr>
        <w:spacing w:after="0" w:line="240" w:lineRule="auto"/>
      </w:pPr>
      <w:r>
        <w:separator/>
      </w:r>
    </w:p>
  </w:footnote>
  <w:footnote w:type="continuationSeparator" w:id="0">
    <w:p w14:paraId="1B5C1713" w14:textId="77777777" w:rsidR="00306D13" w:rsidRDefault="00306D13" w:rsidP="006E61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10D7C"/>
    <w:multiLevelType w:val="hybridMultilevel"/>
    <w:tmpl w:val="2FA65776"/>
    <w:lvl w:ilvl="0" w:tplc="1C7C0DF8">
      <w:start w:val="10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5C66E3"/>
    <w:multiLevelType w:val="hybridMultilevel"/>
    <w:tmpl w:val="DAA23C18"/>
    <w:lvl w:ilvl="0" w:tplc="D4D6A060">
      <w:start w:val="1"/>
      <w:numFmt w:val="decimal"/>
      <w:lvlText w:val="%1"/>
      <w:lvlJc w:val="left"/>
      <w:pPr>
        <w:ind w:left="1519" w:hanging="360"/>
      </w:pPr>
      <w:rPr>
        <w:rFonts w:ascii="Calibri" w:eastAsia="Calibri" w:hAnsi="Calibri" w:cs="Calibri" w:hint="default"/>
        <w:b/>
        <w:bCs/>
        <w:w w:val="100"/>
        <w:sz w:val="22"/>
        <w:szCs w:val="22"/>
      </w:rPr>
    </w:lvl>
    <w:lvl w:ilvl="1" w:tplc="03648660">
      <w:numFmt w:val="bullet"/>
      <w:lvlText w:val="•"/>
      <w:lvlJc w:val="left"/>
      <w:pPr>
        <w:ind w:left="2446" w:hanging="360"/>
      </w:pPr>
      <w:rPr>
        <w:rFonts w:hint="default"/>
      </w:rPr>
    </w:lvl>
    <w:lvl w:ilvl="2" w:tplc="B15494D0">
      <w:numFmt w:val="bullet"/>
      <w:lvlText w:val="•"/>
      <w:lvlJc w:val="left"/>
      <w:pPr>
        <w:ind w:left="3373" w:hanging="360"/>
      </w:pPr>
      <w:rPr>
        <w:rFonts w:hint="default"/>
      </w:rPr>
    </w:lvl>
    <w:lvl w:ilvl="3" w:tplc="6F16211E">
      <w:numFmt w:val="bullet"/>
      <w:lvlText w:val="•"/>
      <w:lvlJc w:val="left"/>
      <w:pPr>
        <w:ind w:left="4299" w:hanging="360"/>
      </w:pPr>
      <w:rPr>
        <w:rFonts w:hint="default"/>
      </w:rPr>
    </w:lvl>
    <w:lvl w:ilvl="4" w:tplc="F5043F64">
      <w:numFmt w:val="bullet"/>
      <w:lvlText w:val="•"/>
      <w:lvlJc w:val="left"/>
      <w:pPr>
        <w:ind w:left="5226" w:hanging="360"/>
      </w:pPr>
      <w:rPr>
        <w:rFonts w:hint="default"/>
      </w:rPr>
    </w:lvl>
    <w:lvl w:ilvl="5" w:tplc="6E2AAADE">
      <w:numFmt w:val="bullet"/>
      <w:lvlText w:val="•"/>
      <w:lvlJc w:val="left"/>
      <w:pPr>
        <w:ind w:left="6153" w:hanging="360"/>
      </w:pPr>
      <w:rPr>
        <w:rFonts w:hint="default"/>
      </w:rPr>
    </w:lvl>
    <w:lvl w:ilvl="6" w:tplc="7DE88C6C">
      <w:numFmt w:val="bullet"/>
      <w:lvlText w:val="•"/>
      <w:lvlJc w:val="left"/>
      <w:pPr>
        <w:ind w:left="7079" w:hanging="360"/>
      </w:pPr>
      <w:rPr>
        <w:rFonts w:hint="default"/>
      </w:rPr>
    </w:lvl>
    <w:lvl w:ilvl="7" w:tplc="858252F2">
      <w:numFmt w:val="bullet"/>
      <w:lvlText w:val="•"/>
      <w:lvlJc w:val="left"/>
      <w:pPr>
        <w:ind w:left="8006" w:hanging="360"/>
      </w:pPr>
      <w:rPr>
        <w:rFonts w:hint="default"/>
      </w:rPr>
    </w:lvl>
    <w:lvl w:ilvl="8" w:tplc="6B76EE86">
      <w:numFmt w:val="bullet"/>
      <w:lvlText w:val="•"/>
      <w:lvlJc w:val="left"/>
      <w:pPr>
        <w:ind w:left="8933" w:hanging="360"/>
      </w:pPr>
      <w:rPr>
        <w:rFonts w:hint="default"/>
      </w:rPr>
    </w:lvl>
  </w:abstractNum>
  <w:abstractNum w:abstractNumId="2" w15:restartNumberingAfterBreak="0">
    <w:nsid w:val="1133045E"/>
    <w:multiLevelType w:val="hybridMultilevel"/>
    <w:tmpl w:val="5B065F3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CF2CC2"/>
    <w:multiLevelType w:val="hybridMultilevel"/>
    <w:tmpl w:val="BF34C60E"/>
    <w:lvl w:ilvl="0" w:tplc="85F8DA08">
      <w:start w:val="1"/>
      <w:numFmt w:val="decimal"/>
      <w:lvlText w:val="%1."/>
      <w:lvlJc w:val="left"/>
      <w:pPr>
        <w:ind w:left="360" w:hanging="360"/>
      </w:pPr>
      <w:rPr>
        <w:rFonts w:ascii="Calibri" w:hAnsi="Calibri" w:cs="Calibri"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E30429E"/>
    <w:multiLevelType w:val="hybridMultilevel"/>
    <w:tmpl w:val="F5AA0F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45E6A26"/>
    <w:multiLevelType w:val="hybridMultilevel"/>
    <w:tmpl w:val="D2602CA8"/>
    <w:lvl w:ilvl="0" w:tplc="F54E3C26">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DC3029"/>
    <w:multiLevelType w:val="hybridMultilevel"/>
    <w:tmpl w:val="A378CD8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4422D1"/>
    <w:multiLevelType w:val="hybridMultilevel"/>
    <w:tmpl w:val="89FAB0EA"/>
    <w:lvl w:ilvl="0" w:tplc="B518FBD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5F105A"/>
    <w:multiLevelType w:val="hybridMultilevel"/>
    <w:tmpl w:val="EFB812FC"/>
    <w:lvl w:ilvl="0" w:tplc="FC665952">
      <w:start w:val="1"/>
      <w:numFmt w:val="bullet"/>
      <w:lvlText w:val="-"/>
      <w:lvlJc w:val="left"/>
      <w:pPr>
        <w:ind w:left="360" w:hanging="360"/>
      </w:pPr>
      <w:rPr>
        <w:rFonts w:ascii="Calibri" w:eastAsia="Calibr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9A46E70"/>
    <w:multiLevelType w:val="hybridMultilevel"/>
    <w:tmpl w:val="FCA4BDD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A8E6F86"/>
    <w:multiLevelType w:val="hybridMultilevel"/>
    <w:tmpl w:val="F5AA0F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5067E16"/>
    <w:multiLevelType w:val="hybridMultilevel"/>
    <w:tmpl w:val="27A2008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A122114"/>
    <w:multiLevelType w:val="hybridMultilevel"/>
    <w:tmpl w:val="632C0FB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1C9180D"/>
    <w:multiLevelType w:val="hybridMultilevel"/>
    <w:tmpl w:val="BBD8C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C6706C6"/>
    <w:multiLevelType w:val="hybridMultilevel"/>
    <w:tmpl w:val="E962D45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0"/>
  </w:num>
  <w:num w:numId="3">
    <w:abstractNumId w:val="11"/>
  </w:num>
  <w:num w:numId="4">
    <w:abstractNumId w:val="13"/>
  </w:num>
  <w:num w:numId="5">
    <w:abstractNumId w:val="7"/>
  </w:num>
  <w:num w:numId="6">
    <w:abstractNumId w:val="12"/>
  </w:num>
  <w:num w:numId="7">
    <w:abstractNumId w:val="2"/>
  </w:num>
  <w:num w:numId="8">
    <w:abstractNumId w:val="5"/>
  </w:num>
  <w:num w:numId="9">
    <w:abstractNumId w:val="6"/>
  </w:num>
  <w:num w:numId="10">
    <w:abstractNumId w:val="14"/>
  </w:num>
  <w:num w:numId="11">
    <w:abstractNumId w:val="1"/>
  </w:num>
  <w:num w:numId="12">
    <w:abstractNumId w:val="8"/>
  </w:num>
  <w:num w:numId="13">
    <w:abstractNumId w:val="9"/>
  </w:num>
  <w:num w:numId="14">
    <w:abstractNumId w:val="0"/>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127"/>
    <w:rsid w:val="000362E9"/>
    <w:rsid w:val="000B53E0"/>
    <w:rsid w:val="000D022E"/>
    <w:rsid w:val="000D3A88"/>
    <w:rsid w:val="000D4FBC"/>
    <w:rsid w:val="000E2872"/>
    <w:rsid w:val="000E5C44"/>
    <w:rsid w:val="0010106D"/>
    <w:rsid w:val="00135AF2"/>
    <w:rsid w:val="001A7EBB"/>
    <w:rsid w:val="001B577C"/>
    <w:rsid w:val="0022578E"/>
    <w:rsid w:val="0023475C"/>
    <w:rsid w:val="002829F7"/>
    <w:rsid w:val="002A38D2"/>
    <w:rsid w:val="002C5057"/>
    <w:rsid w:val="002C7878"/>
    <w:rsid w:val="002E42E1"/>
    <w:rsid w:val="002F1A89"/>
    <w:rsid w:val="002F5466"/>
    <w:rsid w:val="003039F2"/>
    <w:rsid w:val="00306D13"/>
    <w:rsid w:val="003115A3"/>
    <w:rsid w:val="00321F34"/>
    <w:rsid w:val="003245EF"/>
    <w:rsid w:val="00325B09"/>
    <w:rsid w:val="003272B4"/>
    <w:rsid w:val="00337001"/>
    <w:rsid w:val="003515D2"/>
    <w:rsid w:val="0035424F"/>
    <w:rsid w:val="00397A73"/>
    <w:rsid w:val="003A3C98"/>
    <w:rsid w:val="00422BB5"/>
    <w:rsid w:val="00424CE3"/>
    <w:rsid w:val="00437B57"/>
    <w:rsid w:val="00445839"/>
    <w:rsid w:val="0045586F"/>
    <w:rsid w:val="00472130"/>
    <w:rsid w:val="00477FE3"/>
    <w:rsid w:val="004C3B26"/>
    <w:rsid w:val="004C4BB8"/>
    <w:rsid w:val="004C54E2"/>
    <w:rsid w:val="004C63D7"/>
    <w:rsid w:val="004C6DE3"/>
    <w:rsid w:val="004E6471"/>
    <w:rsid w:val="004F17B7"/>
    <w:rsid w:val="005149F2"/>
    <w:rsid w:val="0054375C"/>
    <w:rsid w:val="00570BEC"/>
    <w:rsid w:val="00582BA8"/>
    <w:rsid w:val="005B0C0D"/>
    <w:rsid w:val="005D7571"/>
    <w:rsid w:val="005F02EA"/>
    <w:rsid w:val="006128FC"/>
    <w:rsid w:val="00647F0C"/>
    <w:rsid w:val="0066523E"/>
    <w:rsid w:val="00665346"/>
    <w:rsid w:val="0066687C"/>
    <w:rsid w:val="00666D0A"/>
    <w:rsid w:val="00675FF9"/>
    <w:rsid w:val="006B65B3"/>
    <w:rsid w:val="006B70DD"/>
    <w:rsid w:val="006C4690"/>
    <w:rsid w:val="006E6127"/>
    <w:rsid w:val="006F25A8"/>
    <w:rsid w:val="00705D5D"/>
    <w:rsid w:val="00710E3A"/>
    <w:rsid w:val="00717302"/>
    <w:rsid w:val="00751EB7"/>
    <w:rsid w:val="007554BA"/>
    <w:rsid w:val="007B63D9"/>
    <w:rsid w:val="008239B4"/>
    <w:rsid w:val="00852779"/>
    <w:rsid w:val="00862C2F"/>
    <w:rsid w:val="0088062A"/>
    <w:rsid w:val="00890982"/>
    <w:rsid w:val="008A58A4"/>
    <w:rsid w:val="008B6FBC"/>
    <w:rsid w:val="008D6E24"/>
    <w:rsid w:val="008E24D2"/>
    <w:rsid w:val="008E7758"/>
    <w:rsid w:val="00912C2C"/>
    <w:rsid w:val="00956A01"/>
    <w:rsid w:val="00970A55"/>
    <w:rsid w:val="00973B60"/>
    <w:rsid w:val="00974E51"/>
    <w:rsid w:val="00987318"/>
    <w:rsid w:val="009C6F00"/>
    <w:rsid w:val="009F1F3E"/>
    <w:rsid w:val="00A03B1B"/>
    <w:rsid w:val="00A45C8A"/>
    <w:rsid w:val="00AB7918"/>
    <w:rsid w:val="00AF4B84"/>
    <w:rsid w:val="00B36EBC"/>
    <w:rsid w:val="00B51875"/>
    <w:rsid w:val="00BB165D"/>
    <w:rsid w:val="00BB185D"/>
    <w:rsid w:val="00BB3A7E"/>
    <w:rsid w:val="00BC5437"/>
    <w:rsid w:val="00BF0963"/>
    <w:rsid w:val="00C35FD0"/>
    <w:rsid w:val="00C72021"/>
    <w:rsid w:val="00C84FD6"/>
    <w:rsid w:val="00CB1DA1"/>
    <w:rsid w:val="00CE7863"/>
    <w:rsid w:val="00D026B5"/>
    <w:rsid w:val="00D27618"/>
    <w:rsid w:val="00D5202E"/>
    <w:rsid w:val="00D65BFE"/>
    <w:rsid w:val="00D7442B"/>
    <w:rsid w:val="00D74FCA"/>
    <w:rsid w:val="00D90F41"/>
    <w:rsid w:val="00DA7D0B"/>
    <w:rsid w:val="00E00875"/>
    <w:rsid w:val="00E06AB0"/>
    <w:rsid w:val="00E260DA"/>
    <w:rsid w:val="00E35C41"/>
    <w:rsid w:val="00E541E4"/>
    <w:rsid w:val="00E5636D"/>
    <w:rsid w:val="00E75690"/>
    <w:rsid w:val="00EA0201"/>
    <w:rsid w:val="00EE1F74"/>
    <w:rsid w:val="00F07226"/>
    <w:rsid w:val="00F129D8"/>
    <w:rsid w:val="00F23E9E"/>
    <w:rsid w:val="00F44629"/>
    <w:rsid w:val="00F56631"/>
    <w:rsid w:val="00F92107"/>
    <w:rsid w:val="00FB7113"/>
    <w:rsid w:val="00FC35C7"/>
    <w:rsid w:val="00FD3DC8"/>
    <w:rsid w:val="00FD58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F2399"/>
  <w15:docId w15:val="{EF5ECD71-B958-4333-8F55-3D9AA4654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6127"/>
    <w:rPr>
      <w:rFonts w:ascii="Calibri" w:eastAsia="Calibri" w:hAnsi="Calibri" w:cs="Calibri"/>
      <w:color w:val="000000"/>
      <w:lang w:eastAsia="en-GB"/>
    </w:rPr>
  </w:style>
  <w:style w:type="paragraph" w:styleId="Heading1">
    <w:name w:val="heading 1"/>
    <w:next w:val="Normal"/>
    <w:link w:val="Heading1Char"/>
    <w:uiPriority w:val="9"/>
    <w:unhideWhenUsed/>
    <w:qFormat/>
    <w:rsid w:val="006E6127"/>
    <w:pPr>
      <w:keepNext/>
      <w:keepLines/>
      <w:spacing w:after="0"/>
      <w:ind w:left="10" w:right="380" w:hanging="10"/>
      <w:jc w:val="center"/>
      <w:outlineLvl w:val="0"/>
    </w:pPr>
    <w:rPr>
      <w:rFonts w:ascii="Calibri" w:eastAsia="Calibri" w:hAnsi="Calibri" w:cs="Calibri"/>
      <w:b/>
      <w:color w:val="000000"/>
      <w:sz w:val="28"/>
      <w:lang w:eastAsia="en-GB"/>
    </w:rPr>
  </w:style>
  <w:style w:type="paragraph" w:styleId="Heading2">
    <w:name w:val="heading 2"/>
    <w:basedOn w:val="Normal"/>
    <w:next w:val="Normal"/>
    <w:link w:val="Heading2Char"/>
    <w:uiPriority w:val="9"/>
    <w:semiHidden/>
    <w:unhideWhenUsed/>
    <w:qFormat/>
    <w:rsid w:val="00EE1F7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6">
    <w:name w:val="heading 6"/>
    <w:basedOn w:val="Normal"/>
    <w:next w:val="Normal"/>
    <w:link w:val="Heading6Char"/>
    <w:uiPriority w:val="9"/>
    <w:unhideWhenUsed/>
    <w:qFormat/>
    <w:rsid w:val="000D022E"/>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6127"/>
    <w:rPr>
      <w:rFonts w:ascii="Calibri" w:eastAsia="Calibri" w:hAnsi="Calibri" w:cs="Calibri"/>
      <w:b/>
      <w:color w:val="000000"/>
      <w:sz w:val="28"/>
      <w:lang w:eastAsia="en-GB"/>
    </w:rPr>
  </w:style>
  <w:style w:type="character" w:styleId="CommentReference">
    <w:name w:val="annotation reference"/>
    <w:basedOn w:val="DefaultParagraphFont"/>
    <w:uiPriority w:val="99"/>
    <w:semiHidden/>
    <w:rsid w:val="006E6127"/>
    <w:rPr>
      <w:rFonts w:cs="Times New Roman"/>
      <w:sz w:val="16"/>
      <w:szCs w:val="16"/>
    </w:rPr>
  </w:style>
  <w:style w:type="paragraph" w:styleId="CommentText">
    <w:name w:val="annotation text"/>
    <w:basedOn w:val="Normal"/>
    <w:link w:val="CommentTextChar"/>
    <w:uiPriority w:val="99"/>
    <w:semiHidden/>
    <w:unhideWhenUsed/>
    <w:rsid w:val="006E6127"/>
    <w:pPr>
      <w:spacing w:after="0" w:line="240" w:lineRule="auto"/>
    </w:pPr>
    <w:rPr>
      <w:rFonts w:ascii="Times New Roman" w:eastAsia="Times New Roman" w:hAnsi="Times New Roman" w:cs="Times New Roman"/>
      <w:color w:val="auto"/>
      <w:sz w:val="20"/>
      <w:szCs w:val="20"/>
      <w:lang w:eastAsia="en-US"/>
    </w:rPr>
  </w:style>
  <w:style w:type="character" w:customStyle="1" w:styleId="CommentTextChar">
    <w:name w:val="Comment Text Char"/>
    <w:basedOn w:val="DefaultParagraphFont"/>
    <w:link w:val="CommentText"/>
    <w:uiPriority w:val="99"/>
    <w:semiHidden/>
    <w:rsid w:val="006E6127"/>
    <w:rPr>
      <w:rFonts w:ascii="Times New Roman" w:eastAsia="Times New Roman" w:hAnsi="Times New Roman" w:cs="Times New Roman"/>
      <w:sz w:val="20"/>
      <w:szCs w:val="20"/>
    </w:rPr>
  </w:style>
  <w:style w:type="paragraph" w:styleId="ListParagraph">
    <w:name w:val="List Paragraph"/>
    <w:basedOn w:val="Normal"/>
    <w:uiPriority w:val="34"/>
    <w:qFormat/>
    <w:rsid w:val="006E6127"/>
    <w:pPr>
      <w:widowControl w:val="0"/>
      <w:autoSpaceDE w:val="0"/>
      <w:autoSpaceDN w:val="0"/>
      <w:spacing w:after="0" w:line="240" w:lineRule="auto"/>
      <w:ind w:left="1239" w:hanging="361"/>
    </w:pPr>
    <w:rPr>
      <w:color w:val="auto"/>
      <w:lang w:val="en-US" w:eastAsia="en-US"/>
    </w:rPr>
  </w:style>
  <w:style w:type="table" w:styleId="TableGrid">
    <w:name w:val="Table Grid"/>
    <w:basedOn w:val="TableNormal"/>
    <w:uiPriority w:val="39"/>
    <w:rsid w:val="006E61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E61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6127"/>
    <w:rPr>
      <w:rFonts w:ascii="Segoe UI" w:eastAsia="Calibri" w:hAnsi="Segoe UI" w:cs="Segoe UI"/>
      <w:color w:val="000000"/>
      <w:sz w:val="18"/>
      <w:szCs w:val="18"/>
      <w:lang w:eastAsia="en-GB"/>
    </w:rPr>
  </w:style>
  <w:style w:type="paragraph" w:styleId="BodyText">
    <w:name w:val="Body Text"/>
    <w:basedOn w:val="Normal"/>
    <w:link w:val="BodyTextChar"/>
    <w:uiPriority w:val="1"/>
    <w:qFormat/>
    <w:rsid w:val="006E6127"/>
    <w:pPr>
      <w:widowControl w:val="0"/>
      <w:autoSpaceDE w:val="0"/>
      <w:autoSpaceDN w:val="0"/>
      <w:spacing w:after="0" w:line="240" w:lineRule="auto"/>
    </w:pPr>
    <w:rPr>
      <w:color w:val="auto"/>
      <w:lang w:val="en-US" w:eastAsia="en-US"/>
    </w:rPr>
  </w:style>
  <w:style w:type="character" w:customStyle="1" w:styleId="BodyTextChar">
    <w:name w:val="Body Text Char"/>
    <w:basedOn w:val="DefaultParagraphFont"/>
    <w:link w:val="BodyText"/>
    <w:uiPriority w:val="1"/>
    <w:rsid w:val="006E6127"/>
    <w:rPr>
      <w:rFonts w:ascii="Calibri" w:eastAsia="Calibri" w:hAnsi="Calibri" w:cs="Calibri"/>
      <w:lang w:val="en-US"/>
    </w:rPr>
  </w:style>
  <w:style w:type="paragraph" w:styleId="FootnoteText">
    <w:name w:val="footnote text"/>
    <w:basedOn w:val="Normal"/>
    <w:link w:val="FootnoteTextChar"/>
    <w:uiPriority w:val="99"/>
    <w:semiHidden/>
    <w:unhideWhenUsed/>
    <w:rsid w:val="006E61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E6127"/>
    <w:rPr>
      <w:rFonts w:ascii="Calibri" w:eastAsia="Calibri" w:hAnsi="Calibri" w:cs="Calibri"/>
      <w:color w:val="000000"/>
      <w:sz w:val="20"/>
      <w:szCs w:val="20"/>
      <w:lang w:eastAsia="en-GB"/>
    </w:rPr>
  </w:style>
  <w:style w:type="character" w:styleId="FootnoteReference">
    <w:name w:val="footnote reference"/>
    <w:basedOn w:val="DefaultParagraphFont"/>
    <w:uiPriority w:val="99"/>
    <w:semiHidden/>
    <w:unhideWhenUsed/>
    <w:rsid w:val="006E6127"/>
    <w:rPr>
      <w:vertAlign w:val="superscript"/>
    </w:rPr>
  </w:style>
  <w:style w:type="paragraph" w:styleId="CommentSubject">
    <w:name w:val="annotation subject"/>
    <w:basedOn w:val="CommentText"/>
    <w:next w:val="CommentText"/>
    <w:link w:val="CommentSubjectChar"/>
    <w:uiPriority w:val="99"/>
    <w:semiHidden/>
    <w:unhideWhenUsed/>
    <w:rsid w:val="00582BA8"/>
    <w:pPr>
      <w:spacing w:after="160"/>
    </w:pPr>
    <w:rPr>
      <w:rFonts w:ascii="Calibri" w:eastAsia="Calibri" w:hAnsi="Calibri" w:cs="Calibri"/>
      <w:b/>
      <w:bCs/>
      <w:color w:val="000000"/>
      <w:lang w:eastAsia="en-GB"/>
    </w:rPr>
  </w:style>
  <w:style w:type="character" w:customStyle="1" w:styleId="CommentSubjectChar">
    <w:name w:val="Comment Subject Char"/>
    <w:basedOn w:val="CommentTextChar"/>
    <w:link w:val="CommentSubject"/>
    <w:uiPriority w:val="99"/>
    <w:semiHidden/>
    <w:rsid w:val="00582BA8"/>
    <w:rPr>
      <w:rFonts w:ascii="Calibri" w:eastAsia="Calibri" w:hAnsi="Calibri" w:cs="Calibri"/>
      <w:b/>
      <w:bCs/>
      <w:color w:val="000000"/>
      <w:sz w:val="20"/>
      <w:szCs w:val="20"/>
      <w:lang w:eastAsia="en-GB"/>
    </w:rPr>
  </w:style>
  <w:style w:type="character" w:styleId="Hyperlink">
    <w:name w:val="Hyperlink"/>
    <w:basedOn w:val="DefaultParagraphFont"/>
    <w:uiPriority w:val="99"/>
    <w:unhideWhenUsed/>
    <w:rsid w:val="00582BA8"/>
    <w:rPr>
      <w:color w:val="0563C1" w:themeColor="hyperlink"/>
      <w:u w:val="single"/>
    </w:rPr>
  </w:style>
  <w:style w:type="character" w:customStyle="1" w:styleId="Heading6Char">
    <w:name w:val="Heading 6 Char"/>
    <w:basedOn w:val="DefaultParagraphFont"/>
    <w:link w:val="Heading6"/>
    <w:uiPriority w:val="9"/>
    <w:rsid w:val="000D022E"/>
    <w:rPr>
      <w:rFonts w:asciiTheme="majorHAnsi" w:eastAsiaTheme="majorEastAsia" w:hAnsiTheme="majorHAnsi" w:cstheme="majorBidi"/>
      <w:color w:val="1F4D78" w:themeColor="accent1" w:themeShade="7F"/>
      <w:lang w:eastAsia="en-GB"/>
    </w:rPr>
  </w:style>
  <w:style w:type="character" w:customStyle="1" w:styleId="Heading2Char">
    <w:name w:val="Heading 2 Char"/>
    <w:basedOn w:val="DefaultParagraphFont"/>
    <w:link w:val="Heading2"/>
    <w:uiPriority w:val="9"/>
    <w:semiHidden/>
    <w:rsid w:val="00EE1F74"/>
    <w:rPr>
      <w:rFonts w:asciiTheme="majorHAnsi" w:eastAsiaTheme="majorEastAsia" w:hAnsiTheme="majorHAnsi" w:cstheme="majorBidi"/>
      <w:color w:val="2E74B5" w:themeColor="accent1" w:themeShade="BF"/>
      <w:sz w:val="26"/>
      <w:szCs w:val="26"/>
      <w:lang w:eastAsia="en-GB"/>
    </w:rPr>
  </w:style>
  <w:style w:type="paragraph" w:customStyle="1" w:styleId="xmsonormal">
    <w:name w:val="x_msonormal"/>
    <w:basedOn w:val="Normal"/>
    <w:rsid w:val="00E260DA"/>
    <w:pPr>
      <w:spacing w:after="0" w:line="240" w:lineRule="auto"/>
    </w:pPr>
    <w:rPr>
      <w:rFonts w:ascii="Times New Roman" w:eastAsiaTheme="minorHAnsi" w:hAnsi="Times New Roman" w:cs="Times New Roman"/>
      <w:color w:val="auto"/>
      <w:sz w:val="24"/>
      <w:szCs w:val="24"/>
    </w:rPr>
  </w:style>
  <w:style w:type="paragraph" w:customStyle="1" w:styleId="xmsocommenttext">
    <w:name w:val="x_msocommenttext"/>
    <w:basedOn w:val="Normal"/>
    <w:rsid w:val="00E260DA"/>
    <w:pPr>
      <w:spacing w:after="0" w:line="240" w:lineRule="auto"/>
    </w:pPr>
    <w:rPr>
      <w:rFonts w:ascii="Times New Roman" w:eastAsiaTheme="minorHAnsi"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231602">
      <w:bodyDiv w:val="1"/>
      <w:marLeft w:val="0"/>
      <w:marRight w:val="0"/>
      <w:marTop w:val="0"/>
      <w:marBottom w:val="0"/>
      <w:divBdr>
        <w:top w:val="none" w:sz="0" w:space="0" w:color="auto"/>
        <w:left w:val="none" w:sz="0" w:space="0" w:color="auto"/>
        <w:bottom w:val="none" w:sz="0" w:space="0" w:color="auto"/>
        <w:right w:val="none" w:sz="0" w:space="0" w:color="auto"/>
      </w:divBdr>
    </w:div>
    <w:div w:id="167597612">
      <w:bodyDiv w:val="1"/>
      <w:marLeft w:val="0"/>
      <w:marRight w:val="0"/>
      <w:marTop w:val="0"/>
      <w:marBottom w:val="0"/>
      <w:divBdr>
        <w:top w:val="none" w:sz="0" w:space="0" w:color="auto"/>
        <w:left w:val="none" w:sz="0" w:space="0" w:color="auto"/>
        <w:bottom w:val="none" w:sz="0" w:space="0" w:color="auto"/>
        <w:right w:val="none" w:sz="0" w:space="0" w:color="auto"/>
      </w:divBdr>
    </w:div>
    <w:div w:id="628248305">
      <w:bodyDiv w:val="1"/>
      <w:marLeft w:val="0"/>
      <w:marRight w:val="0"/>
      <w:marTop w:val="0"/>
      <w:marBottom w:val="0"/>
      <w:divBdr>
        <w:top w:val="none" w:sz="0" w:space="0" w:color="auto"/>
        <w:left w:val="none" w:sz="0" w:space="0" w:color="auto"/>
        <w:bottom w:val="none" w:sz="0" w:space="0" w:color="auto"/>
        <w:right w:val="none" w:sz="0" w:space="0" w:color="auto"/>
      </w:divBdr>
    </w:div>
    <w:div w:id="1225947500">
      <w:bodyDiv w:val="1"/>
      <w:marLeft w:val="0"/>
      <w:marRight w:val="0"/>
      <w:marTop w:val="0"/>
      <w:marBottom w:val="0"/>
      <w:divBdr>
        <w:top w:val="none" w:sz="0" w:space="0" w:color="auto"/>
        <w:left w:val="none" w:sz="0" w:space="0" w:color="auto"/>
        <w:bottom w:val="none" w:sz="0" w:space="0" w:color="auto"/>
        <w:right w:val="none" w:sz="0" w:space="0" w:color="auto"/>
      </w:divBdr>
    </w:div>
    <w:div w:id="1235974048">
      <w:bodyDiv w:val="1"/>
      <w:marLeft w:val="0"/>
      <w:marRight w:val="0"/>
      <w:marTop w:val="0"/>
      <w:marBottom w:val="0"/>
      <w:divBdr>
        <w:top w:val="none" w:sz="0" w:space="0" w:color="auto"/>
        <w:left w:val="none" w:sz="0" w:space="0" w:color="auto"/>
        <w:bottom w:val="none" w:sz="0" w:space="0" w:color="auto"/>
        <w:right w:val="none" w:sz="0" w:space="0" w:color="auto"/>
      </w:divBdr>
    </w:div>
    <w:div w:id="1250966425">
      <w:bodyDiv w:val="1"/>
      <w:marLeft w:val="0"/>
      <w:marRight w:val="0"/>
      <w:marTop w:val="0"/>
      <w:marBottom w:val="0"/>
      <w:divBdr>
        <w:top w:val="none" w:sz="0" w:space="0" w:color="auto"/>
        <w:left w:val="none" w:sz="0" w:space="0" w:color="auto"/>
        <w:bottom w:val="none" w:sz="0" w:space="0" w:color="auto"/>
        <w:right w:val="none" w:sz="0" w:space="0" w:color="auto"/>
      </w:divBdr>
    </w:div>
    <w:div w:id="1251236503">
      <w:bodyDiv w:val="1"/>
      <w:marLeft w:val="0"/>
      <w:marRight w:val="0"/>
      <w:marTop w:val="0"/>
      <w:marBottom w:val="0"/>
      <w:divBdr>
        <w:top w:val="none" w:sz="0" w:space="0" w:color="auto"/>
        <w:left w:val="none" w:sz="0" w:space="0" w:color="auto"/>
        <w:bottom w:val="none" w:sz="0" w:space="0" w:color="auto"/>
        <w:right w:val="none" w:sz="0" w:space="0" w:color="auto"/>
      </w:divBdr>
    </w:div>
    <w:div w:id="1415709848">
      <w:bodyDiv w:val="1"/>
      <w:marLeft w:val="0"/>
      <w:marRight w:val="0"/>
      <w:marTop w:val="0"/>
      <w:marBottom w:val="0"/>
      <w:divBdr>
        <w:top w:val="none" w:sz="0" w:space="0" w:color="auto"/>
        <w:left w:val="none" w:sz="0" w:space="0" w:color="auto"/>
        <w:bottom w:val="none" w:sz="0" w:space="0" w:color="auto"/>
        <w:right w:val="none" w:sz="0" w:space="0" w:color="auto"/>
      </w:divBdr>
    </w:div>
    <w:div w:id="1471558510">
      <w:bodyDiv w:val="1"/>
      <w:marLeft w:val="0"/>
      <w:marRight w:val="0"/>
      <w:marTop w:val="0"/>
      <w:marBottom w:val="0"/>
      <w:divBdr>
        <w:top w:val="none" w:sz="0" w:space="0" w:color="auto"/>
        <w:left w:val="none" w:sz="0" w:space="0" w:color="auto"/>
        <w:bottom w:val="none" w:sz="0" w:space="0" w:color="auto"/>
        <w:right w:val="none" w:sz="0" w:space="0" w:color="auto"/>
      </w:divBdr>
    </w:div>
    <w:div w:id="1663510353">
      <w:bodyDiv w:val="1"/>
      <w:marLeft w:val="0"/>
      <w:marRight w:val="0"/>
      <w:marTop w:val="0"/>
      <w:marBottom w:val="0"/>
      <w:divBdr>
        <w:top w:val="none" w:sz="0" w:space="0" w:color="auto"/>
        <w:left w:val="none" w:sz="0" w:space="0" w:color="auto"/>
        <w:bottom w:val="none" w:sz="0" w:space="0" w:color="auto"/>
        <w:right w:val="none" w:sz="0" w:space="0" w:color="auto"/>
      </w:divBdr>
    </w:div>
    <w:div w:id="1753041345">
      <w:bodyDiv w:val="1"/>
      <w:marLeft w:val="0"/>
      <w:marRight w:val="0"/>
      <w:marTop w:val="0"/>
      <w:marBottom w:val="0"/>
      <w:divBdr>
        <w:top w:val="none" w:sz="0" w:space="0" w:color="auto"/>
        <w:left w:val="none" w:sz="0" w:space="0" w:color="auto"/>
        <w:bottom w:val="none" w:sz="0" w:space="0" w:color="auto"/>
        <w:right w:val="none" w:sz="0" w:space="0" w:color="auto"/>
      </w:divBdr>
    </w:div>
    <w:div w:id="1831478260">
      <w:bodyDiv w:val="1"/>
      <w:marLeft w:val="0"/>
      <w:marRight w:val="0"/>
      <w:marTop w:val="0"/>
      <w:marBottom w:val="0"/>
      <w:divBdr>
        <w:top w:val="none" w:sz="0" w:space="0" w:color="auto"/>
        <w:left w:val="none" w:sz="0" w:space="0" w:color="auto"/>
        <w:bottom w:val="none" w:sz="0" w:space="0" w:color="auto"/>
        <w:right w:val="none" w:sz="0" w:space="0" w:color="auto"/>
      </w:divBdr>
    </w:div>
    <w:div w:id="1957759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vms1@le.ac.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AFE1FF-0338-4023-80F3-6E1E58239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1024</Words>
  <Characters>5839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Leicester</Company>
  <LinksUpToDate>false</LinksUpToDate>
  <CharactersWithSpaces>6850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Thomas, Richard M. (Prof.)</dc:creator>
  <cp:lastModifiedBy>White, Karen L.</cp:lastModifiedBy>
  <cp:revision>3</cp:revision>
  <dcterms:created xsi:type="dcterms:W3CDTF">2022-01-25T11:11:00Z</dcterms:created>
  <dcterms:modified xsi:type="dcterms:W3CDTF">2022-01-25T11:29:00Z</dcterms:modified>
</cp:coreProperties>
</file>