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B01E3" w14:textId="77777777" w:rsidR="006D63C5" w:rsidRDefault="006D63C5" w:rsidP="006D63C5">
      <w:pPr>
        <w:spacing w:after="0" w:line="240" w:lineRule="auto"/>
        <w:rPr>
          <w:b/>
        </w:rPr>
      </w:pPr>
      <w:r w:rsidRPr="00836A66">
        <w:rPr>
          <w:b/>
        </w:rPr>
        <w:t>University of Leicester</w:t>
      </w:r>
    </w:p>
    <w:p w14:paraId="02D425A7" w14:textId="2168A8B9" w:rsidR="006D63C5" w:rsidRDefault="006D63C5" w:rsidP="006D63C5">
      <w:pPr>
        <w:spacing w:after="0" w:line="240" w:lineRule="auto"/>
        <w:rPr>
          <w:b/>
        </w:rPr>
      </w:pPr>
      <w:r>
        <w:rPr>
          <w:b/>
        </w:rPr>
        <w:t>Chemistry GTA Studentship Project 2022</w:t>
      </w:r>
    </w:p>
    <w:p w14:paraId="471D8D42" w14:textId="77777777" w:rsidR="006D63C5" w:rsidRDefault="006D63C5" w:rsidP="006D63C5">
      <w:pPr>
        <w:spacing w:after="0" w:line="240" w:lineRule="auto"/>
        <w:rPr>
          <w:b/>
        </w:rPr>
      </w:pPr>
    </w:p>
    <w:p w14:paraId="53907739" w14:textId="665DC20A" w:rsidR="008D3AC2" w:rsidRPr="008D3AC2" w:rsidRDefault="008D3AC2" w:rsidP="00B11D52">
      <w:pPr>
        <w:rPr>
          <w:b/>
          <w:i/>
          <w:u w:val="single"/>
        </w:rPr>
      </w:pPr>
      <w:r>
        <w:rPr>
          <w:b/>
          <w:u w:val="single"/>
        </w:rPr>
        <w:t>Section 1 –</w:t>
      </w:r>
      <w:r>
        <w:rPr>
          <w:b/>
          <w:i/>
          <w:u w:val="single"/>
        </w:rPr>
        <w:t xml:space="preserve"> Supervisor Information</w:t>
      </w: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7F2D2A" w14:paraId="629F5D86" w14:textId="77777777" w:rsidTr="00402F9E">
        <w:tc>
          <w:tcPr>
            <w:tcW w:w="3227" w:type="dxa"/>
            <w:shd w:val="clear" w:color="auto" w:fill="F2F2F2" w:themeFill="background1" w:themeFillShade="F2"/>
          </w:tcPr>
          <w:p w14:paraId="683A98E0" w14:textId="67A9CB20" w:rsidR="007F2D2A" w:rsidRPr="00B11D52" w:rsidRDefault="007F2D2A" w:rsidP="007F2D2A">
            <w:pPr>
              <w:spacing w:line="276" w:lineRule="auto"/>
              <w:rPr>
                <w:b/>
              </w:rPr>
            </w:pPr>
            <w:r>
              <w:rPr>
                <w:b/>
              </w:rPr>
              <w:t>First Supervisor (Name and Title)</w:t>
            </w:r>
          </w:p>
        </w:tc>
        <w:tc>
          <w:tcPr>
            <w:tcW w:w="5807" w:type="dxa"/>
          </w:tcPr>
          <w:p w14:paraId="2B07BB0B" w14:textId="540D79A4" w:rsidR="007F2D2A" w:rsidRDefault="006D63C5" w:rsidP="007F2D2A">
            <w:pPr>
              <w:spacing w:line="276" w:lineRule="auto"/>
            </w:pPr>
            <w:r>
              <w:t xml:space="preserve">Professor </w:t>
            </w:r>
            <w:r w:rsidR="00724743">
              <w:t>Andrew Hudson</w:t>
            </w:r>
          </w:p>
        </w:tc>
      </w:tr>
      <w:tr w:rsidR="00B11D52" w14:paraId="3A6736F1" w14:textId="77777777" w:rsidTr="00402F9E">
        <w:tc>
          <w:tcPr>
            <w:tcW w:w="3227" w:type="dxa"/>
            <w:shd w:val="clear" w:color="auto" w:fill="F2F2F2" w:themeFill="background1" w:themeFillShade="F2"/>
          </w:tcPr>
          <w:p w14:paraId="16D3D74B" w14:textId="529798B4" w:rsidR="00B11D52" w:rsidRPr="00B11D52" w:rsidRDefault="00402F9E" w:rsidP="00DD4646">
            <w:pPr>
              <w:spacing w:line="276" w:lineRule="auto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5807" w:type="dxa"/>
          </w:tcPr>
          <w:p w14:paraId="57F70427" w14:textId="1560EC93" w:rsidR="00B11D52" w:rsidRDefault="007F2D2A" w:rsidP="00DD4646">
            <w:pPr>
              <w:spacing w:line="276" w:lineRule="auto"/>
            </w:pPr>
            <w:r>
              <w:t>Chemistry</w:t>
            </w:r>
          </w:p>
        </w:tc>
      </w:tr>
      <w:tr w:rsidR="006D63C5" w14:paraId="7066ADB6" w14:textId="77777777" w:rsidTr="002F1767">
        <w:tc>
          <w:tcPr>
            <w:tcW w:w="3227" w:type="dxa"/>
            <w:shd w:val="clear" w:color="auto" w:fill="F2F2F2" w:themeFill="background1" w:themeFillShade="F2"/>
          </w:tcPr>
          <w:p w14:paraId="24B38F2C" w14:textId="77777777" w:rsidR="006D63C5" w:rsidRDefault="006D63C5" w:rsidP="00DD464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5807" w:type="dxa"/>
          </w:tcPr>
          <w:p w14:paraId="1A1345BA" w14:textId="5AD33C20" w:rsidR="006D63C5" w:rsidRDefault="006D63C5" w:rsidP="00724743">
            <w:pPr>
              <w:spacing w:line="276" w:lineRule="auto"/>
            </w:pPr>
            <w:hyperlink r:id="rId8" w:history="1">
              <w:r w:rsidRPr="00287A61">
                <w:rPr>
                  <w:rStyle w:val="Hyperlink"/>
                </w:rPr>
                <w:t>ah242@leicester.ac.uk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14:paraId="2EB17751" w14:textId="77777777" w:rsidR="005D7383" w:rsidRDefault="005D7383" w:rsidP="00DD4646">
      <w:pPr>
        <w:spacing w:line="276" w:lineRule="auto"/>
      </w:pPr>
    </w:p>
    <w:p w14:paraId="32504F8A" w14:textId="57A3944B" w:rsidR="008D3AC2" w:rsidRPr="008D3AC2" w:rsidRDefault="008D3AC2">
      <w:pPr>
        <w:rPr>
          <w:b/>
          <w:i/>
          <w:u w:val="single"/>
        </w:rPr>
      </w:pPr>
      <w:r>
        <w:rPr>
          <w:b/>
          <w:u w:val="single"/>
        </w:rPr>
        <w:t xml:space="preserve">Section 2 – </w:t>
      </w:r>
      <w:r>
        <w:rPr>
          <w:b/>
          <w:i/>
          <w:u w:val="single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7F2D2A" w14:paraId="63F64C90" w14:textId="77777777" w:rsidTr="00DD4646">
        <w:tc>
          <w:tcPr>
            <w:tcW w:w="1980" w:type="dxa"/>
            <w:shd w:val="clear" w:color="auto" w:fill="F2F2F2" w:themeFill="background1" w:themeFillShade="F2"/>
          </w:tcPr>
          <w:p w14:paraId="3D0917A4" w14:textId="77777777" w:rsidR="007F2D2A" w:rsidRDefault="007F2D2A" w:rsidP="007F2D2A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Project Title</w:t>
            </w:r>
          </w:p>
          <w:p w14:paraId="4E081D60" w14:textId="20DCCD84" w:rsidR="007F2D2A" w:rsidRPr="00B11D52" w:rsidRDefault="007F2D2A" w:rsidP="007F2D2A">
            <w:pPr>
              <w:spacing w:line="276" w:lineRule="auto"/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285BC737" w14:textId="5792DA9D" w:rsidR="007F2D2A" w:rsidRDefault="00724743" w:rsidP="00724743">
            <w:pPr>
              <w:spacing w:line="276" w:lineRule="auto"/>
            </w:pPr>
            <w:r>
              <w:t>Fluorescence lifetime imaging with genetically encoded sensors to unravel the mechanisms controlling h</w:t>
            </w:r>
            <w:r w:rsidR="00EE5D81">
              <w:t>aem</w:t>
            </w:r>
            <w:r>
              <w:t xml:space="preserve"> supply and demand in cells</w:t>
            </w:r>
          </w:p>
        </w:tc>
      </w:tr>
      <w:tr w:rsidR="007F2D2A" w14:paraId="20E39D8E" w14:textId="77777777" w:rsidTr="00DD4646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7AE42A5E" w14:textId="77777777" w:rsidR="007F2D2A" w:rsidRDefault="007F2D2A" w:rsidP="007F2D2A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E3A543B" w14:textId="77777777" w:rsidR="007F2D2A" w:rsidRDefault="007F2D2A" w:rsidP="007F2D2A">
            <w:pPr>
              <w:spacing w:line="276" w:lineRule="auto"/>
            </w:pPr>
            <w:r>
              <w:t>1.</w:t>
            </w:r>
          </w:p>
        </w:tc>
        <w:tc>
          <w:tcPr>
            <w:tcW w:w="6611" w:type="dxa"/>
          </w:tcPr>
          <w:p w14:paraId="3EBE2D7B" w14:textId="6F635ABD" w:rsidR="007F2D2A" w:rsidRDefault="00EE5D81" w:rsidP="00330D16">
            <w:pPr>
              <w:spacing w:line="276" w:lineRule="auto"/>
            </w:pPr>
            <w:r>
              <w:t>This project has been inspired by recent reports</w:t>
            </w:r>
            <w:r w:rsidR="00936B9F">
              <w:t xml:space="preserve"> that implicate</w:t>
            </w:r>
            <w:r>
              <w:t xml:space="preserve"> free </w:t>
            </w:r>
            <w:r w:rsidR="00936B9F">
              <w:t xml:space="preserve">(or exchangeable) </w:t>
            </w:r>
            <w:r>
              <w:t>molecules of haem in signalling activities in the cell; this co</w:t>
            </w:r>
            <w:r w:rsidR="00936B9F">
              <w:t>nflic</w:t>
            </w:r>
            <w:r>
              <w:t>t</w:t>
            </w:r>
            <w:r w:rsidR="00936B9F">
              <w:t>s</w:t>
            </w:r>
            <w:r>
              <w:t xml:space="preserve"> with the long held view of haem as </w:t>
            </w:r>
            <w:r w:rsidR="00330D16">
              <w:t>exclusively</w:t>
            </w:r>
            <w:r w:rsidR="00936B9F">
              <w:t xml:space="preserve"> </w:t>
            </w:r>
            <w:r>
              <w:t>a prosthetic group</w:t>
            </w:r>
            <w:r w:rsidR="00936B9F">
              <w:t xml:space="preserve"> buried inside a</w:t>
            </w:r>
            <w:r>
              <w:t xml:space="preserve"> protein   </w:t>
            </w:r>
          </w:p>
        </w:tc>
      </w:tr>
      <w:tr w:rsidR="007F2D2A" w14:paraId="349B808B" w14:textId="77777777" w:rsidTr="00DD4646">
        <w:tc>
          <w:tcPr>
            <w:tcW w:w="1980" w:type="dxa"/>
            <w:vMerge/>
            <w:shd w:val="clear" w:color="auto" w:fill="F2F2F2" w:themeFill="background1" w:themeFillShade="F2"/>
          </w:tcPr>
          <w:p w14:paraId="57200A34" w14:textId="77777777" w:rsidR="007F2D2A" w:rsidRDefault="007F2D2A" w:rsidP="007F2D2A">
            <w:pPr>
              <w:spacing w:line="276" w:lineRule="auto"/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33460E2" w14:textId="77777777" w:rsidR="007F2D2A" w:rsidRDefault="007F2D2A" w:rsidP="007F2D2A">
            <w:pPr>
              <w:spacing w:line="276" w:lineRule="auto"/>
            </w:pPr>
            <w:r>
              <w:t>2.</w:t>
            </w:r>
          </w:p>
        </w:tc>
        <w:tc>
          <w:tcPr>
            <w:tcW w:w="6611" w:type="dxa"/>
          </w:tcPr>
          <w:p w14:paraId="0B757879" w14:textId="26791E6F" w:rsidR="007F2D2A" w:rsidRDefault="00EE5D81" w:rsidP="00330D16">
            <w:pPr>
              <w:spacing w:line="276" w:lineRule="auto"/>
            </w:pPr>
            <w:r>
              <w:t xml:space="preserve">The design of a genetically encoded sensor to quantify the concentration and </w:t>
            </w:r>
            <w:r w:rsidR="00330D16">
              <w:t>redox state</w:t>
            </w:r>
            <w:r>
              <w:t xml:space="preserve"> of</w:t>
            </w:r>
            <w:r w:rsidR="00936B9F">
              <w:t xml:space="preserve"> exchangeable</w:t>
            </w:r>
            <w:r>
              <w:t xml:space="preserve"> </w:t>
            </w:r>
            <w:r w:rsidR="00936B9F">
              <w:t>haem</w:t>
            </w:r>
          </w:p>
        </w:tc>
      </w:tr>
      <w:tr w:rsidR="007F2D2A" w14:paraId="35B8D7F0" w14:textId="77777777" w:rsidTr="00DD4646">
        <w:tc>
          <w:tcPr>
            <w:tcW w:w="1980" w:type="dxa"/>
            <w:vMerge/>
            <w:shd w:val="clear" w:color="auto" w:fill="F2F2F2" w:themeFill="background1" w:themeFillShade="F2"/>
          </w:tcPr>
          <w:p w14:paraId="4C9F2303" w14:textId="77777777" w:rsidR="007F2D2A" w:rsidRDefault="007F2D2A" w:rsidP="007F2D2A">
            <w:pPr>
              <w:spacing w:line="276" w:lineRule="auto"/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00F0279" w14:textId="77777777" w:rsidR="007F2D2A" w:rsidRDefault="007F2D2A" w:rsidP="007F2D2A">
            <w:pPr>
              <w:spacing w:line="276" w:lineRule="auto"/>
            </w:pPr>
            <w:r>
              <w:t>3.</w:t>
            </w:r>
          </w:p>
        </w:tc>
        <w:tc>
          <w:tcPr>
            <w:tcW w:w="6611" w:type="dxa"/>
          </w:tcPr>
          <w:p w14:paraId="2ADE859E" w14:textId="2BC973E1" w:rsidR="007F2D2A" w:rsidRDefault="00936B9F" w:rsidP="007F2D2A">
            <w:pPr>
              <w:spacing w:line="276" w:lineRule="auto"/>
            </w:pPr>
            <w:r>
              <w:t>Determination of the cellular distribution of exchangeable haem using fluorescence lifetime imaging</w:t>
            </w:r>
          </w:p>
        </w:tc>
      </w:tr>
      <w:tr w:rsidR="007F2D2A" w14:paraId="4904B635" w14:textId="77777777" w:rsidTr="00DD4646">
        <w:tc>
          <w:tcPr>
            <w:tcW w:w="9016" w:type="dxa"/>
            <w:gridSpan w:val="3"/>
            <w:shd w:val="clear" w:color="auto" w:fill="F2F2F2" w:themeFill="background1" w:themeFillShade="F2"/>
          </w:tcPr>
          <w:p w14:paraId="0F40EE5A" w14:textId="1FB53663" w:rsidR="007F2D2A" w:rsidRDefault="007F2D2A" w:rsidP="006D63C5">
            <w:pPr>
              <w:spacing w:line="276" w:lineRule="auto"/>
            </w:pPr>
            <w:r>
              <w:rPr>
                <w:b/>
              </w:rPr>
              <w:t xml:space="preserve">Project Overview </w:t>
            </w:r>
          </w:p>
        </w:tc>
      </w:tr>
      <w:tr w:rsidR="007F2D2A" w14:paraId="5557754C" w14:textId="77777777" w:rsidTr="00EE5D81">
        <w:tc>
          <w:tcPr>
            <w:tcW w:w="9016" w:type="dxa"/>
            <w:gridSpan w:val="3"/>
          </w:tcPr>
          <w:p w14:paraId="6CF8A0BC" w14:textId="77777777" w:rsidR="00936B9F" w:rsidRPr="00330D16" w:rsidRDefault="00936B9F" w:rsidP="00936B9F">
            <w:pPr>
              <w:spacing w:after="60"/>
              <w:jc w:val="both"/>
              <w:rPr>
                <w:rFonts w:ascii="Calibri" w:hAnsi="Calibri" w:cs="Calibri"/>
                <w:b/>
                <w:color w:val="0070C0"/>
              </w:rPr>
            </w:pPr>
          </w:p>
          <w:p w14:paraId="0F96A9E2" w14:textId="7B3EA604" w:rsidR="00936B9F" w:rsidRPr="00330D16" w:rsidRDefault="00936B9F" w:rsidP="00936B9F">
            <w:pPr>
              <w:spacing w:after="60"/>
              <w:jc w:val="both"/>
              <w:rPr>
                <w:rFonts w:ascii="Calibri" w:hAnsi="Calibri" w:cs="Calibri"/>
              </w:rPr>
            </w:pPr>
            <w:r w:rsidRPr="00330D16">
              <w:rPr>
                <w:rFonts w:ascii="Calibri" w:hAnsi="Calibri" w:cs="Calibri"/>
              </w:rPr>
              <w:t>A large number of proteins depend on a small inorganic complex, iron protoporphyrin IX (haem), which is bound</w:t>
            </w:r>
            <w:r w:rsidRPr="00330D16">
              <w:rPr>
                <w:rFonts w:ascii="Calibri" w:eastAsia="Calibri" w:hAnsi="Calibri" w:cs="Calibri"/>
                <w:bCs/>
                <w:color w:val="000000" w:themeColor="text1"/>
              </w:rPr>
              <w:t xml:space="preserve"> by means of metal-ligand coordinate bonds to proteins</w:t>
            </w:r>
            <w:r w:rsidRPr="00330D16">
              <w:rPr>
                <w:rFonts w:ascii="Calibri" w:hAnsi="Calibri" w:cs="Calibri"/>
              </w:rPr>
              <w:t>. These h</w:t>
            </w:r>
            <w:r w:rsidR="00330D16">
              <w:rPr>
                <w:rFonts w:ascii="Calibri" w:hAnsi="Calibri" w:cs="Calibri"/>
              </w:rPr>
              <w:t>aem</w:t>
            </w:r>
            <w:r w:rsidRPr="00330D16">
              <w:rPr>
                <w:rFonts w:ascii="Calibri" w:hAnsi="Calibri" w:cs="Calibri"/>
              </w:rPr>
              <w:t xml:space="preserve"> proteins are involved in many fundamental processes in the cell: transport and storage of oxygen, movement of electrons and redox chemistry, and chemical catalysis. This breadth of chemical functionality has long been held as a testament to the versatility </w:t>
            </w:r>
            <w:r w:rsidR="00330D16">
              <w:rPr>
                <w:rFonts w:ascii="Calibri" w:hAnsi="Calibri" w:cs="Calibri"/>
              </w:rPr>
              <w:t>of haem</w:t>
            </w:r>
            <w:r w:rsidRPr="00330D16">
              <w:rPr>
                <w:rFonts w:ascii="Calibri" w:hAnsi="Calibri" w:cs="Calibri"/>
              </w:rPr>
              <w:t>, and it now appears that this is just the tip of the iceberg. The recent literature has begun to describe a whole new portfolio of other biological processes</w:t>
            </w:r>
            <w:r w:rsidR="00330D16" w:rsidRPr="00330D16">
              <w:rPr>
                <w:rFonts w:ascii="Calibri" w:hAnsi="Calibri" w:cs="Calibri"/>
              </w:rPr>
              <w:t xml:space="preserve"> </w:t>
            </w:r>
            <w:r w:rsidRPr="00330D16">
              <w:rPr>
                <w:rFonts w:ascii="Calibri" w:hAnsi="Calibri" w:cs="Calibri"/>
              </w:rPr>
              <w:t>underpinned by these metal-ligand interactions: for example, h</w:t>
            </w:r>
            <w:r w:rsidR="00330D16">
              <w:rPr>
                <w:rFonts w:ascii="Calibri" w:hAnsi="Calibri" w:cs="Calibri"/>
              </w:rPr>
              <w:t>aem</w:t>
            </w:r>
            <w:r w:rsidRPr="00330D16">
              <w:rPr>
                <w:rFonts w:ascii="Calibri" w:hAnsi="Calibri" w:cs="Calibri"/>
              </w:rPr>
              <w:t xml:space="preserve"> can influence the amounts of different proteins made, circadian rhythms and the in-going and out-going flux of ions in the cell – all of which are </w:t>
            </w:r>
            <w:r w:rsidR="00330D16" w:rsidRPr="00330D16">
              <w:rPr>
                <w:rFonts w:ascii="Calibri" w:hAnsi="Calibri" w:cs="Calibri"/>
              </w:rPr>
              <w:t>critically important to health</w:t>
            </w:r>
            <w:r w:rsidRPr="00330D16">
              <w:rPr>
                <w:rFonts w:ascii="Calibri" w:hAnsi="Calibri" w:cs="Calibri"/>
              </w:rPr>
              <w:t>. These new discoveries have challenged long-held conceptions of the demand for h</w:t>
            </w:r>
            <w:r w:rsidR="00330D16">
              <w:rPr>
                <w:rFonts w:ascii="Calibri" w:hAnsi="Calibri" w:cs="Calibri"/>
              </w:rPr>
              <w:t>aem</w:t>
            </w:r>
            <w:r w:rsidRPr="00330D16">
              <w:rPr>
                <w:rFonts w:ascii="Calibri" w:hAnsi="Calibri" w:cs="Calibri"/>
              </w:rPr>
              <w:t xml:space="preserve"> and how h</w:t>
            </w:r>
            <w:r w:rsidR="00330D16">
              <w:rPr>
                <w:rFonts w:ascii="Calibri" w:hAnsi="Calibri" w:cs="Calibri"/>
              </w:rPr>
              <w:t>aem</w:t>
            </w:r>
            <w:r w:rsidRPr="00330D16">
              <w:rPr>
                <w:rFonts w:ascii="Calibri" w:hAnsi="Calibri" w:cs="Calibri"/>
              </w:rPr>
              <w:t xml:space="preserve"> is supplied to support chemical activity in the cell: the lifecycle of h</w:t>
            </w:r>
            <w:r w:rsidR="00330D16">
              <w:rPr>
                <w:rFonts w:ascii="Calibri" w:hAnsi="Calibri" w:cs="Calibri"/>
              </w:rPr>
              <w:t>aem</w:t>
            </w:r>
            <w:r w:rsidRPr="00330D16">
              <w:rPr>
                <w:rFonts w:ascii="Calibri" w:hAnsi="Calibri" w:cs="Calibri"/>
              </w:rPr>
              <w:t xml:space="preserve"> must be more complicated than its synthesis (in mitochondria) and degradation (in the endoplasmic reticulum); and more than a stoichiometric amount, relative to h</w:t>
            </w:r>
            <w:r w:rsidR="00330D16">
              <w:rPr>
                <w:rFonts w:ascii="Calibri" w:hAnsi="Calibri" w:cs="Calibri"/>
              </w:rPr>
              <w:t>aem</w:t>
            </w:r>
            <w:r w:rsidRPr="00330D16">
              <w:rPr>
                <w:rFonts w:ascii="Calibri" w:hAnsi="Calibri" w:cs="Calibri"/>
              </w:rPr>
              <w:t>-binding proteins, is needed. This is because these newly discovered processes require h</w:t>
            </w:r>
            <w:r w:rsidR="00330D16">
              <w:rPr>
                <w:rFonts w:ascii="Calibri" w:hAnsi="Calibri" w:cs="Calibri"/>
              </w:rPr>
              <w:t>aem</w:t>
            </w:r>
            <w:r w:rsidRPr="00330D16">
              <w:rPr>
                <w:rFonts w:ascii="Calibri" w:hAnsi="Calibri" w:cs="Calibri"/>
              </w:rPr>
              <w:t xml:space="preserve"> intermittently to change the behaviour or function of a sub-group of h</w:t>
            </w:r>
            <w:r w:rsidR="00330D16">
              <w:rPr>
                <w:rFonts w:ascii="Calibri" w:hAnsi="Calibri" w:cs="Calibri"/>
              </w:rPr>
              <w:t>aem</w:t>
            </w:r>
            <w:r w:rsidRPr="00330D16">
              <w:rPr>
                <w:rFonts w:ascii="Calibri" w:hAnsi="Calibri" w:cs="Calibri"/>
              </w:rPr>
              <w:t>-binding proteins, and there must be a readily available supply of h</w:t>
            </w:r>
            <w:r w:rsidR="00330D16">
              <w:rPr>
                <w:rFonts w:ascii="Calibri" w:hAnsi="Calibri" w:cs="Calibri"/>
              </w:rPr>
              <w:t>aem</w:t>
            </w:r>
            <w:r w:rsidRPr="00330D16">
              <w:rPr>
                <w:rFonts w:ascii="Calibri" w:hAnsi="Calibri" w:cs="Calibri"/>
              </w:rPr>
              <w:t xml:space="preserve"> to meet the transient requirements of the cell.</w:t>
            </w:r>
          </w:p>
          <w:p w14:paraId="4EE8D59B" w14:textId="46746DB5" w:rsidR="007F2D2A" w:rsidRPr="00330D16" w:rsidRDefault="00936B9F" w:rsidP="00330D16">
            <w:pPr>
              <w:spacing w:after="60"/>
              <w:jc w:val="both"/>
              <w:rPr>
                <w:rFonts w:ascii="Calibri" w:hAnsi="Calibri" w:cs="Calibri"/>
              </w:rPr>
            </w:pPr>
            <w:r w:rsidRPr="00330D16">
              <w:rPr>
                <w:rFonts w:ascii="Calibri" w:hAnsi="Calibri" w:cs="Calibri"/>
              </w:rPr>
              <w:t>Understanding how h</w:t>
            </w:r>
            <w:r w:rsidR="00330D16">
              <w:rPr>
                <w:rFonts w:ascii="Calibri" w:hAnsi="Calibri" w:cs="Calibri"/>
              </w:rPr>
              <w:t>aem</w:t>
            </w:r>
            <w:r w:rsidRPr="00330D16">
              <w:rPr>
                <w:rFonts w:ascii="Calibri" w:hAnsi="Calibri" w:cs="Calibri"/>
              </w:rPr>
              <w:t xml:space="preserve"> is mobilised by proteins is an important frontier of chemical biology because the availability of h</w:t>
            </w:r>
            <w:r w:rsidR="00330D16">
              <w:rPr>
                <w:rFonts w:ascii="Calibri" w:hAnsi="Calibri" w:cs="Calibri"/>
              </w:rPr>
              <w:t>aem</w:t>
            </w:r>
            <w:r w:rsidRPr="00330D16">
              <w:rPr>
                <w:rFonts w:ascii="Calibri" w:hAnsi="Calibri" w:cs="Calibri"/>
              </w:rPr>
              <w:t xml:space="preserve"> will have broad consequences on cell physiology (too little, or too much, will have deleterious consequences). There must exist a reservoir of exchangeable h</w:t>
            </w:r>
            <w:r w:rsidR="00330D16">
              <w:rPr>
                <w:rFonts w:ascii="Calibri" w:hAnsi="Calibri" w:cs="Calibri"/>
              </w:rPr>
              <w:t>aem</w:t>
            </w:r>
            <w:r w:rsidRPr="00330D16">
              <w:rPr>
                <w:rFonts w:ascii="Calibri" w:hAnsi="Calibri" w:cs="Calibri"/>
              </w:rPr>
              <w:t xml:space="preserve"> which can be mobilised by </w:t>
            </w:r>
            <w:r w:rsidR="00330D16" w:rsidRPr="00330D16">
              <w:rPr>
                <w:rFonts w:ascii="Calibri" w:hAnsi="Calibri" w:cs="Calibri"/>
              </w:rPr>
              <w:t>known haem</w:t>
            </w:r>
            <w:r w:rsidRPr="00330D16">
              <w:rPr>
                <w:rFonts w:ascii="Calibri" w:hAnsi="Calibri" w:cs="Calibri"/>
              </w:rPr>
              <w:t>-binding proteins, and other, hitherto unknown, proteins, when and where it is needed, however, the existence of this reservoir of h</w:t>
            </w:r>
            <w:r w:rsidR="00330D16">
              <w:rPr>
                <w:rFonts w:ascii="Calibri" w:hAnsi="Calibri" w:cs="Calibri"/>
              </w:rPr>
              <w:t>aem</w:t>
            </w:r>
            <w:r w:rsidRPr="00330D16">
              <w:rPr>
                <w:rFonts w:ascii="Calibri" w:hAnsi="Calibri" w:cs="Calibri"/>
              </w:rPr>
              <w:t xml:space="preserve"> has defied explanation because molecular h</w:t>
            </w:r>
            <w:r w:rsidR="00330D16" w:rsidRPr="00330D16">
              <w:rPr>
                <w:rFonts w:ascii="Calibri" w:hAnsi="Calibri" w:cs="Calibri"/>
              </w:rPr>
              <w:t>aem</w:t>
            </w:r>
            <w:r w:rsidR="00330D16">
              <w:rPr>
                <w:rFonts w:ascii="Calibri" w:hAnsi="Calibri" w:cs="Calibri"/>
              </w:rPr>
              <w:t xml:space="preserve"> is cytotoxic</w:t>
            </w:r>
            <w:r w:rsidRPr="00330D16">
              <w:rPr>
                <w:rFonts w:ascii="Calibri" w:hAnsi="Calibri" w:cs="Calibri"/>
              </w:rPr>
              <w:t xml:space="preserve">, and so cannot be freely available in the cell. </w:t>
            </w:r>
            <w:r w:rsidRPr="00330D16">
              <w:rPr>
                <w:rFonts w:ascii="Calibri" w:hAnsi="Calibri" w:cs="Calibri"/>
                <w:b/>
                <w:i/>
              </w:rPr>
              <w:t>This has been a particularly long-standing problem in cell biology (the first reports describing the need to conceptualise a heme pool appeared in the 1970s) but a lack of progress has been made to address the problem due to technical limitations in biophysical approaches and imaging technology.</w:t>
            </w:r>
          </w:p>
        </w:tc>
      </w:tr>
      <w:tr w:rsidR="007F2D2A" w14:paraId="6AE3697D" w14:textId="77777777" w:rsidTr="00DD4646">
        <w:tc>
          <w:tcPr>
            <w:tcW w:w="9016" w:type="dxa"/>
            <w:gridSpan w:val="3"/>
            <w:shd w:val="clear" w:color="auto" w:fill="F2F2F2" w:themeFill="background1" w:themeFillShade="F2"/>
          </w:tcPr>
          <w:p w14:paraId="173BC438" w14:textId="05F428B8" w:rsidR="007F2D2A" w:rsidRDefault="007F2D2A" w:rsidP="006D63C5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Methodology </w:t>
            </w:r>
          </w:p>
        </w:tc>
      </w:tr>
      <w:tr w:rsidR="007F2D2A" w14:paraId="6D11B1A5" w14:textId="77777777" w:rsidTr="00B438FB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3152D5C0" w14:textId="77777777" w:rsidR="007F2D2A" w:rsidRDefault="007F2D2A" w:rsidP="007F2D2A">
            <w:pPr>
              <w:spacing w:line="276" w:lineRule="auto"/>
              <w:jc w:val="center"/>
              <w:rPr>
                <w:b/>
              </w:rPr>
            </w:pPr>
          </w:p>
          <w:p w14:paraId="61CB61CB" w14:textId="62673F1B" w:rsidR="007F2D2A" w:rsidRDefault="00936B9F" w:rsidP="00330D16">
            <w:pPr>
              <w:spacing w:line="276" w:lineRule="auto"/>
              <w:rPr>
                <w:lang w:val="en-US"/>
              </w:rPr>
            </w:pPr>
            <w:r w:rsidRPr="00936B9F">
              <w:t>In a recent published article, we reported a breakthrough discovery of the mechanistic basis of how h</w:t>
            </w:r>
            <w:r w:rsidR="00330D16">
              <w:t>aem</w:t>
            </w:r>
            <w:r w:rsidRPr="00936B9F">
              <w:t xml:space="preserve"> is made availability in cells. </w:t>
            </w:r>
            <w:r w:rsidRPr="00936B9F">
              <w:rPr>
                <w:lang w:val="en-US"/>
              </w:rPr>
              <w:t>By fusing a monomeric h</w:t>
            </w:r>
            <w:r w:rsidR="00330D16">
              <w:rPr>
                <w:lang w:val="en-US"/>
              </w:rPr>
              <w:t>aem</w:t>
            </w:r>
            <w:r w:rsidRPr="00936B9F">
              <w:rPr>
                <w:lang w:val="en-US"/>
              </w:rPr>
              <w:t>-binding peroxid</w:t>
            </w:r>
            <w:r w:rsidR="00330D16">
              <w:rPr>
                <w:lang w:val="en-US"/>
              </w:rPr>
              <w:t>ase</w:t>
            </w:r>
            <w:r w:rsidRPr="00936B9F">
              <w:rPr>
                <w:lang w:val="en-US"/>
              </w:rPr>
              <w:t xml:space="preserve"> to a monomeric form of g</w:t>
            </w:r>
            <w:r w:rsidR="00330D16">
              <w:rPr>
                <w:lang w:val="en-US"/>
              </w:rPr>
              <w:t>reen-fluorescent protein</w:t>
            </w:r>
            <w:r w:rsidRPr="00936B9F">
              <w:rPr>
                <w:lang w:val="en-US"/>
              </w:rPr>
              <w:t>, we de</w:t>
            </w:r>
            <w:r w:rsidR="00330D16">
              <w:rPr>
                <w:lang w:val="en-US"/>
              </w:rPr>
              <w:t>veloped a haem sensor</w:t>
            </w:r>
            <w:r w:rsidRPr="00936B9F">
              <w:rPr>
                <w:lang w:val="en-US"/>
              </w:rPr>
              <w:t xml:space="preserve"> that can be expressed </w:t>
            </w:r>
            <w:r w:rsidR="00330D16">
              <w:t>recombina</w:t>
            </w:r>
            <w:r w:rsidRPr="00936B9F">
              <w:t>ntly</w:t>
            </w:r>
            <w:r w:rsidRPr="00936B9F">
              <w:rPr>
                <w:lang w:val="en-US"/>
              </w:rPr>
              <w:t xml:space="preserve"> in different cell lines. By means of fluorescence lifetime imaging (FLIM), the sensor was shown to be responsive to h</w:t>
            </w:r>
            <w:r w:rsidR="00330D16">
              <w:rPr>
                <w:lang w:val="en-US"/>
              </w:rPr>
              <w:t>aem</w:t>
            </w:r>
            <w:r w:rsidRPr="00936B9F">
              <w:rPr>
                <w:lang w:val="en-US"/>
              </w:rPr>
              <w:t xml:space="preserve"> availability in the cell, and can be used to precisely calculate the cellular concentrations </w:t>
            </w:r>
            <w:r w:rsidR="00330D16">
              <w:rPr>
                <w:lang w:val="en-US"/>
              </w:rPr>
              <w:t>of free haem</w:t>
            </w:r>
            <w:r w:rsidRPr="00936B9F">
              <w:rPr>
                <w:lang w:val="en-US"/>
              </w:rPr>
              <w:t xml:space="preserve">. We discovered that </w:t>
            </w:r>
            <w:r w:rsidR="00330D16">
              <w:rPr>
                <w:lang w:val="en-US"/>
              </w:rPr>
              <w:t>there existed and</w:t>
            </w:r>
            <w:r w:rsidRPr="00936B9F">
              <w:rPr>
                <w:lang w:val="en-US"/>
              </w:rPr>
              <w:t xml:space="preserve"> in-built cellular buffering system that sequesters much larger concentrations of exchang</w:t>
            </w:r>
            <w:r w:rsidR="00330D16">
              <w:rPr>
                <w:lang w:val="en-US"/>
              </w:rPr>
              <w:t>e</w:t>
            </w:r>
            <w:r w:rsidRPr="00936B9F">
              <w:rPr>
                <w:lang w:val="en-US"/>
              </w:rPr>
              <w:t>able h</w:t>
            </w:r>
            <w:r w:rsidR="00330D16">
              <w:rPr>
                <w:lang w:val="en-US"/>
              </w:rPr>
              <w:t>aem</w:t>
            </w:r>
            <w:r w:rsidRPr="00936B9F">
              <w:rPr>
                <w:lang w:val="en-US"/>
              </w:rPr>
              <w:t>, but retains the capability to mobilise h</w:t>
            </w:r>
            <w:r w:rsidR="00330D16">
              <w:rPr>
                <w:lang w:val="en-US"/>
              </w:rPr>
              <w:t>aem</w:t>
            </w:r>
            <w:r w:rsidRPr="00936B9F">
              <w:rPr>
                <w:lang w:val="en-US"/>
              </w:rPr>
              <w:t xml:space="preserve"> when and where it is needed</w:t>
            </w:r>
            <w:r w:rsidR="00330D16">
              <w:rPr>
                <w:lang w:val="en-US"/>
              </w:rPr>
              <w:t>.</w:t>
            </w:r>
          </w:p>
          <w:p w14:paraId="2259E0CC" w14:textId="2DDD2990" w:rsidR="00330D16" w:rsidRDefault="00330D16" w:rsidP="00330D16">
            <w:pPr>
              <w:spacing w:line="276" w:lineRule="auto"/>
              <w:rPr>
                <w:b/>
              </w:rPr>
            </w:pPr>
            <w:r>
              <w:rPr>
                <w:lang w:val="en-US"/>
              </w:rPr>
              <w:t xml:space="preserve">In this project, we will extend on this earlier </w:t>
            </w:r>
            <w:r w:rsidRPr="00330D16">
              <w:rPr>
                <w:lang w:val="en-US"/>
              </w:rPr>
              <w:t>work by designing a new sensor with</w:t>
            </w:r>
            <w:r>
              <w:rPr>
                <w:lang w:val="en-US"/>
              </w:rPr>
              <w:t xml:space="preserve"> the capability to reveal both the concentration and redox state of haem. As before, we will use fluorescence lifetime imaging to reveal the spatial location and oxidation-state distribution of haem. </w:t>
            </w:r>
          </w:p>
        </w:tc>
      </w:tr>
      <w:tr w:rsidR="007F2D2A" w14:paraId="0D616595" w14:textId="77777777" w:rsidTr="00DD4646">
        <w:tc>
          <w:tcPr>
            <w:tcW w:w="1980" w:type="dxa"/>
            <w:shd w:val="clear" w:color="auto" w:fill="F2F2F2" w:themeFill="background1" w:themeFillShade="F2"/>
          </w:tcPr>
          <w:p w14:paraId="5AD90857" w14:textId="77777777" w:rsidR="007F2D2A" w:rsidRDefault="007F2D2A" w:rsidP="007F2D2A">
            <w:pPr>
              <w:spacing w:line="276" w:lineRule="auto"/>
              <w:rPr>
                <w:b/>
              </w:rPr>
            </w:pPr>
            <w:r>
              <w:rPr>
                <w:b/>
              </w:rPr>
              <w:t>Further Reading:</w:t>
            </w:r>
          </w:p>
        </w:tc>
        <w:tc>
          <w:tcPr>
            <w:tcW w:w="7036" w:type="dxa"/>
            <w:gridSpan w:val="2"/>
          </w:tcPr>
          <w:p w14:paraId="2A89B87B" w14:textId="77777777" w:rsidR="00330D16" w:rsidRDefault="00330D16" w:rsidP="00330D16"/>
          <w:p w14:paraId="73CB2B84" w14:textId="4935A863" w:rsidR="00330D16" w:rsidRDefault="00330D16" w:rsidP="00330D16">
            <w:r>
              <w:t xml:space="preserve">Gallio, A. E.; Fung, S. S. P.; Cammack-Najera, A.; </w:t>
            </w:r>
            <w:r w:rsidRPr="00CA23D5">
              <w:rPr>
                <w:b/>
              </w:rPr>
              <w:t>Hudson, A. J.</w:t>
            </w:r>
            <w:r>
              <w:t xml:space="preserve">; Raven, E. L. Understanding the Logistics for the Distribution of Heme in Cells. </w:t>
            </w:r>
            <w:r w:rsidRPr="00CA23D5">
              <w:rPr>
                <w:i/>
              </w:rPr>
              <w:t>JACS</w:t>
            </w:r>
            <w:r>
              <w:t xml:space="preserve"> Au 2021 </w:t>
            </w:r>
            <w:hyperlink r:id="rId9" w:history="1">
              <w:r w:rsidRPr="00520A7A">
                <w:rPr>
                  <w:rStyle w:val="Hyperlink"/>
                </w:rPr>
                <w:t>https://doi.org/10.1021/jacsau.1c00288</w:t>
              </w:r>
            </w:hyperlink>
          </w:p>
          <w:p w14:paraId="54514F2D" w14:textId="77777777" w:rsidR="00330D16" w:rsidRDefault="00330D16" w:rsidP="00330D16"/>
          <w:p w14:paraId="4E5764A9" w14:textId="77777777" w:rsidR="00330D16" w:rsidRDefault="00330D16" w:rsidP="00330D16">
            <w:r>
              <w:t xml:space="preserve">Leung, G. C. H.; Fung, S. S. P.; Gallio, A. E.; Blore, R.; Alibhai, D.; Raven, E. L.; </w:t>
            </w:r>
            <w:r w:rsidRPr="00CA23D5">
              <w:rPr>
                <w:b/>
              </w:rPr>
              <w:t>Hudson, A. J.</w:t>
            </w:r>
            <w:r>
              <w:t xml:space="preserve"> Unravelling the mechanisms controlling heme supply and demand. </w:t>
            </w:r>
            <w:r w:rsidRPr="00CA23D5">
              <w:rPr>
                <w:i/>
              </w:rPr>
              <w:t>P Natl Acad Sci USA 2021</w:t>
            </w:r>
            <w:r>
              <w:t xml:space="preserve">, 118, e2104008118; </w:t>
            </w:r>
            <w:hyperlink r:id="rId10" w:history="1">
              <w:r w:rsidRPr="00520A7A">
                <w:rPr>
                  <w:rStyle w:val="Hyperlink"/>
                </w:rPr>
                <w:t>https://doi.org/10.1073/pnas.2104008118</w:t>
              </w:r>
            </w:hyperlink>
          </w:p>
          <w:p w14:paraId="09BD9624" w14:textId="77777777" w:rsidR="00330D16" w:rsidRDefault="00330D16" w:rsidP="00330D16"/>
          <w:p w14:paraId="701C6BD3" w14:textId="77777777" w:rsidR="007F2D2A" w:rsidRDefault="007F2D2A" w:rsidP="007F2D2A">
            <w:pPr>
              <w:spacing w:line="276" w:lineRule="auto"/>
              <w:rPr>
                <w:b/>
              </w:rPr>
            </w:pPr>
          </w:p>
        </w:tc>
      </w:tr>
    </w:tbl>
    <w:p w14:paraId="6B037891" w14:textId="77777777" w:rsidR="00BE1FC7" w:rsidRPr="00982DBC" w:rsidRDefault="00BE1FC7" w:rsidP="006C5FD7"/>
    <w:sectPr w:rsidR="00BE1FC7" w:rsidRPr="00982DBC" w:rsidSect="00572A81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9757D" w14:textId="77777777" w:rsidR="00EE5D81" w:rsidRDefault="00EE5D81" w:rsidP="00572A81">
      <w:pPr>
        <w:spacing w:after="0" w:line="240" w:lineRule="auto"/>
      </w:pPr>
      <w:r>
        <w:separator/>
      </w:r>
    </w:p>
  </w:endnote>
  <w:endnote w:type="continuationSeparator" w:id="0">
    <w:p w14:paraId="7B1F3979" w14:textId="77777777" w:rsidR="00EE5D81" w:rsidRDefault="00EE5D81" w:rsidP="0057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05151" w14:textId="77777777" w:rsidR="00EE5D81" w:rsidRDefault="00EE5D81" w:rsidP="00572A81">
      <w:pPr>
        <w:spacing w:after="0" w:line="240" w:lineRule="auto"/>
      </w:pPr>
      <w:r>
        <w:separator/>
      </w:r>
    </w:p>
  </w:footnote>
  <w:footnote w:type="continuationSeparator" w:id="0">
    <w:p w14:paraId="163DD75F" w14:textId="77777777" w:rsidR="00EE5D81" w:rsidRDefault="00EE5D81" w:rsidP="00572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549C"/>
    <w:multiLevelType w:val="hybridMultilevel"/>
    <w:tmpl w:val="63D8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81"/>
    <w:rsid w:val="000047F7"/>
    <w:rsid w:val="00025664"/>
    <w:rsid w:val="00025886"/>
    <w:rsid w:val="0003008A"/>
    <w:rsid w:val="00045959"/>
    <w:rsid w:val="000E1ED6"/>
    <w:rsid w:val="000E62BB"/>
    <w:rsid w:val="00112509"/>
    <w:rsid w:val="00122022"/>
    <w:rsid w:val="001353F9"/>
    <w:rsid w:val="00141551"/>
    <w:rsid w:val="001A1FC0"/>
    <w:rsid w:val="001A5A4B"/>
    <w:rsid w:val="001C664C"/>
    <w:rsid w:val="0020152E"/>
    <w:rsid w:val="002444E9"/>
    <w:rsid w:val="00294F78"/>
    <w:rsid w:val="002E3D24"/>
    <w:rsid w:val="00330D16"/>
    <w:rsid w:val="003675D0"/>
    <w:rsid w:val="00382D7D"/>
    <w:rsid w:val="003A33EE"/>
    <w:rsid w:val="003B47EA"/>
    <w:rsid w:val="003E7561"/>
    <w:rsid w:val="00402F9E"/>
    <w:rsid w:val="00417ED5"/>
    <w:rsid w:val="00437BBE"/>
    <w:rsid w:val="00444013"/>
    <w:rsid w:val="004762B0"/>
    <w:rsid w:val="00493433"/>
    <w:rsid w:val="004D1B28"/>
    <w:rsid w:val="004F1C31"/>
    <w:rsid w:val="00501EC4"/>
    <w:rsid w:val="00572A81"/>
    <w:rsid w:val="005738CF"/>
    <w:rsid w:val="00595468"/>
    <w:rsid w:val="005B1654"/>
    <w:rsid w:val="005D7383"/>
    <w:rsid w:val="005E0853"/>
    <w:rsid w:val="005F0766"/>
    <w:rsid w:val="00611386"/>
    <w:rsid w:val="00620F82"/>
    <w:rsid w:val="00682EF2"/>
    <w:rsid w:val="00686068"/>
    <w:rsid w:val="0068761E"/>
    <w:rsid w:val="006A08E8"/>
    <w:rsid w:val="006C5FD7"/>
    <w:rsid w:val="006C7A8D"/>
    <w:rsid w:val="006D6007"/>
    <w:rsid w:val="006D63C5"/>
    <w:rsid w:val="006F2B1F"/>
    <w:rsid w:val="00703334"/>
    <w:rsid w:val="00724743"/>
    <w:rsid w:val="00733B5D"/>
    <w:rsid w:val="00741970"/>
    <w:rsid w:val="00747DF5"/>
    <w:rsid w:val="007C7D11"/>
    <w:rsid w:val="007F2D2A"/>
    <w:rsid w:val="007F52E0"/>
    <w:rsid w:val="00812281"/>
    <w:rsid w:val="00852683"/>
    <w:rsid w:val="00885446"/>
    <w:rsid w:val="008871EA"/>
    <w:rsid w:val="00896695"/>
    <w:rsid w:val="008D3AC2"/>
    <w:rsid w:val="008E497D"/>
    <w:rsid w:val="008F2C95"/>
    <w:rsid w:val="00936B9F"/>
    <w:rsid w:val="00955953"/>
    <w:rsid w:val="0098151B"/>
    <w:rsid w:val="00982DBC"/>
    <w:rsid w:val="009970D9"/>
    <w:rsid w:val="009C43B9"/>
    <w:rsid w:val="00A5514A"/>
    <w:rsid w:val="00A77D55"/>
    <w:rsid w:val="00A851A5"/>
    <w:rsid w:val="00AA54D0"/>
    <w:rsid w:val="00AC7A28"/>
    <w:rsid w:val="00AD602E"/>
    <w:rsid w:val="00B11D52"/>
    <w:rsid w:val="00B438FB"/>
    <w:rsid w:val="00B8399F"/>
    <w:rsid w:val="00B87279"/>
    <w:rsid w:val="00BE1FC7"/>
    <w:rsid w:val="00C24B6F"/>
    <w:rsid w:val="00C61938"/>
    <w:rsid w:val="00CE15F6"/>
    <w:rsid w:val="00CE43BD"/>
    <w:rsid w:val="00D90FEA"/>
    <w:rsid w:val="00D97961"/>
    <w:rsid w:val="00DD4646"/>
    <w:rsid w:val="00DD5D8A"/>
    <w:rsid w:val="00E2360C"/>
    <w:rsid w:val="00E47055"/>
    <w:rsid w:val="00E51679"/>
    <w:rsid w:val="00EC0043"/>
    <w:rsid w:val="00ED4ADA"/>
    <w:rsid w:val="00ED573B"/>
    <w:rsid w:val="00EE3A1F"/>
    <w:rsid w:val="00EE5D81"/>
    <w:rsid w:val="00F03A6F"/>
    <w:rsid w:val="00F16A50"/>
    <w:rsid w:val="00F23708"/>
    <w:rsid w:val="00F26D51"/>
    <w:rsid w:val="00F53099"/>
    <w:rsid w:val="00FA35B6"/>
    <w:rsid w:val="00FB7346"/>
    <w:rsid w:val="00FD132D"/>
    <w:rsid w:val="00FD5329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2A69EB"/>
  <w15:docId w15:val="{BEC9BAA3-C562-4D4E-988A-9A8F32C7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A81"/>
  </w:style>
  <w:style w:type="paragraph" w:styleId="Footer">
    <w:name w:val="footer"/>
    <w:basedOn w:val="Normal"/>
    <w:link w:val="FooterChar"/>
    <w:uiPriority w:val="99"/>
    <w:unhideWhenUsed/>
    <w:rsid w:val="00572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A81"/>
  </w:style>
  <w:style w:type="character" w:customStyle="1" w:styleId="Heading1Char">
    <w:name w:val="Heading 1 Char"/>
    <w:basedOn w:val="DefaultParagraphFont"/>
    <w:link w:val="Heading1"/>
    <w:uiPriority w:val="9"/>
    <w:rsid w:val="00B11D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1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1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6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5A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1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FC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2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2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242@leicest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73/pnas.2104008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21/jacsau.1c00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667C8-0BBD-4AAA-8859-CD43E68D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Ratcliffe, Charlotte</dc:creator>
  <cp:lastModifiedBy>White, Karen L.</cp:lastModifiedBy>
  <cp:revision>3</cp:revision>
  <dcterms:created xsi:type="dcterms:W3CDTF">2021-12-23T11:01:00Z</dcterms:created>
  <dcterms:modified xsi:type="dcterms:W3CDTF">2022-01-10T15:41:00Z</dcterms:modified>
</cp:coreProperties>
</file>