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2DDCA" w14:textId="77777777" w:rsidR="00836A66" w:rsidRDefault="00836A66" w:rsidP="005D7571">
      <w:pPr>
        <w:spacing w:after="0" w:line="240" w:lineRule="auto"/>
        <w:rPr>
          <w:b/>
        </w:rPr>
      </w:pPr>
      <w:r w:rsidRPr="00836A66">
        <w:rPr>
          <w:b/>
        </w:rPr>
        <w:t>University of Leicester</w:t>
      </w:r>
    </w:p>
    <w:p w14:paraId="14F65879" w14:textId="3A335A56" w:rsidR="00836A66" w:rsidRDefault="00836A66" w:rsidP="005D7571">
      <w:pPr>
        <w:spacing w:after="0" w:line="240" w:lineRule="auto"/>
        <w:rPr>
          <w:b/>
        </w:rPr>
      </w:pPr>
      <w:r>
        <w:rPr>
          <w:b/>
        </w:rPr>
        <w:t>Chemistry GTA Studentship Project 2022</w:t>
      </w:r>
    </w:p>
    <w:p w14:paraId="4B7CCF2A" w14:textId="77777777" w:rsidR="00836A66" w:rsidRDefault="00836A66" w:rsidP="005D7571">
      <w:pPr>
        <w:spacing w:after="0" w:line="240" w:lineRule="auto"/>
        <w:rPr>
          <w:b/>
        </w:rPr>
      </w:pPr>
    </w:p>
    <w:p w14:paraId="043ED4C7" w14:textId="65F57780" w:rsidR="006E6127" w:rsidRPr="006B05B2" w:rsidRDefault="006E6127" w:rsidP="005D7571">
      <w:pPr>
        <w:spacing w:after="0" w:line="240" w:lineRule="auto"/>
        <w:rPr>
          <w:b/>
          <w:i/>
        </w:rPr>
      </w:pPr>
      <w:r w:rsidRPr="006B05B2">
        <w:rPr>
          <w:b/>
        </w:rPr>
        <w:t>Section 1 –</w:t>
      </w:r>
      <w:r w:rsidRPr="006B05B2">
        <w:rPr>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6E6127" w14:paraId="1A8AEE3E" w14:textId="77777777" w:rsidTr="00F032DC">
        <w:tc>
          <w:tcPr>
            <w:tcW w:w="3227" w:type="dxa"/>
            <w:shd w:val="clear" w:color="auto" w:fill="F2F2F2" w:themeFill="background1" w:themeFillShade="F2"/>
          </w:tcPr>
          <w:p w14:paraId="797595AE" w14:textId="77777777" w:rsidR="006E6127" w:rsidRPr="00B11D52" w:rsidRDefault="006E6127" w:rsidP="005D7571">
            <w:pPr>
              <w:rPr>
                <w:b/>
              </w:rPr>
            </w:pPr>
            <w:r>
              <w:rPr>
                <w:b/>
              </w:rPr>
              <w:t>First Supervisor (Name and Title)</w:t>
            </w:r>
          </w:p>
        </w:tc>
        <w:tc>
          <w:tcPr>
            <w:tcW w:w="5807" w:type="dxa"/>
          </w:tcPr>
          <w:p w14:paraId="2EFC27AD" w14:textId="0D7C7306" w:rsidR="006E6127" w:rsidRDefault="002D396A" w:rsidP="005D7571">
            <w:r>
              <w:t>Dr. Richard Doveston</w:t>
            </w:r>
          </w:p>
        </w:tc>
      </w:tr>
      <w:tr w:rsidR="006E6127" w14:paraId="440F0AB6" w14:textId="77777777" w:rsidTr="00F032DC">
        <w:tc>
          <w:tcPr>
            <w:tcW w:w="3227" w:type="dxa"/>
            <w:shd w:val="clear" w:color="auto" w:fill="F2F2F2" w:themeFill="background1" w:themeFillShade="F2"/>
          </w:tcPr>
          <w:p w14:paraId="5EE2848F" w14:textId="77777777" w:rsidR="006E6127" w:rsidRPr="00B11D52" w:rsidRDefault="006E6127" w:rsidP="005D7571">
            <w:pPr>
              <w:rPr>
                <w:b/>
              </w:rPr>
            </w:pPr>
            <w:r>
              <w:rPr>
                <w:b/>
              </w:rPr>
              <w:t>School/Department</w:t>
            </w:r>
          </w:p>
        </w:tc>
        <w:tc>
          <w:tcPr>
            <w:tcW w:w="5807" w:type="dxa"/>
          </w:tcPr>
          <w:p w14:paraId="33043918" w14:textId="27374509" w:rsidR="006E6127" w:rsidRDefault="002D396A" w:rsidP="005D7571">
            <w:r>
              <w:t>Chemistry</w:t>
            </w:r>
          </w:p>
        </w:tc>
      </w:tr>
      <w:tr w:rsidR="00836A66" w14:paraId="50DAD948" w14:textId="77777777" w:rsidTr="002446D9">
        <w:tc>
          <w:tcPr>
            <w:tcW w:w="3227" w:type="dxa"/>
            <w:shd w:val="clear" w:color="auto" w:fill="F2F2F2" w:themeFill="background1" w:themeFillShade="F2"/>
          </w:tcPr>
          <w:p w14:paraId="101ABC6A" w14:textId="77777777" w:rsidR="00836A66" w:rsidRDefault="00836A66" w:rsidP="005D7571">
            <w:pPr>
              <w:rPr>
                <w:b/>
              </w:rPr>
            </w:pPr>
            <w:r>
              <w:rPr>
                <w:b/>
              </w:rPr>
              <w:t xml:space="preserve">Email </w:t>
            </w:r>
          </w:p>
        </w:tc>
        <w:tc>
          <w:tcPr>
            <w:tcW w:w="5807" w:type="dxa"/>
          </w:tcPr>
          <w:p w14:paraId="7C412C6A" w14:textId="74F37786" w:rsidR="00836A66" w:rsidRDefault="00836A66" w:rsidP="005D7571">
            <w:hyperlink r:id="rId8" w:history="1">
              <w:r w:rsidRPr="005474C9">
                <w:rPr>
                  <w:rStyle w:val="Hyperlink"/>
                </w:rPr>
                <w:t>r.g.doveston@leicester.ac.uk</w:t>
              </w:r>
            </w:hyperlink>
          </w:p>
          <w:p w14:paraId="731A3E74" w14:textId="6B51E2AE" w:rsidR="00836A66" w:rsidRDefault="00836A66" w:rsidP="005D7571"/>
        </w:tc>
      </w:tr>
    </w:tbl>
    <w:p w14:paraId="70B3CAEA" w14:textId="77777777" w:rsidR="006E6127" w:rsidRDefault="006E6127" w:rsidP="005D7571">
      <w:pPr>
        <w:spacing w:after="0" w:line="240" w:lineRule="auto"/>
        <w:rPr>
          <w:b/>
          <w:u w:val="single"/>
        </w:rPr>
      </w:pPr>
    </w:p>
    <w:p w14:paraId="3C7C5CA8" w14:textId="77777777" w:rsidR="006E6127" w:rsidRPr="006B05B2" w:rsidRDefault="006E6127" w:rsidP="005D757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6E6127" w14:paraId="61847E1F" w14:textId="77777777" w:rsidTr="00F032DC">
        <w:tc>
          <w:tcPr>
            <w:tcW w:w="1980" w:type="dxa"/>
            <w:shd w:val="clear" w:color="auto" w:fill="F2F2F2" w:themeFill="background1" w:themeFillShade="F2"/>
          </w:tcPr>
          <w:p w14:paraId="09FB775F" w14:textId="77777777" w:rsidR="006E6127" w:rsidRDefault="006E6127" w:rsidP="005D7571">
            <w:pPr>
              <w:rPr>
                <w:b/>
              </w:rPr>
            </w:pPr>
            <w:r>
              <w:rPr>
                <w:b/>
              </w:rPr>
              <w:t>Project Title</w:t>
            </w:r>
          </w:p>
          <w:p w14:paraId="0F1F1EED" w14:textId="77777777" w:rsidR="006E6127" w:rsidRPr="00B11D52" w:rsidRDefault="006E6127" w:rsidP="005D7571">
            <w:pPr>
              <w:rPr>
                <w:b/>
              </w:rPr>
            </w:pPr>
          </w:p>
        </w:tc>
        <w:tc>
          <w:tcPr>
            <w:tcW w:w="7036" w:type="dxa"/>
            <w:gridSpan w:val="2"/>
          </w:tcPr>
          <w:p w14:paraId="00ED6A53" w14:textId="77777777" w:rsidR="002D396A" w:rsidRDefault="002D396A" w:rsidP="002D396A">
            <w:pPr>
              <w:pStyle w:val="NoSpacing"/>
            </w:pPr>
            <w:bookmarkStart w:id="0" w:name="_GoBack"/>
            <w:r>
              <w:t>A Bespoke Screening Platform for Discovering Protein Molecular Glues as Novel Therapeutic Agents</w:t>
            </w:r>
          </w:p>
          <w:bookmarkEnd w:id="0"/>
          <w:p w14:paraId="37F23267" w14:textId="77777777" w:rsidR="006E6127" w:rsidRDefault="006E6127" w:rsidP="005D7571"/>
        </w:tc>
      </w:tr>
      <w:tr w:rsidR="006E6127" w14:paraId="022FF22A" w14:textId="77777777" w:rsidTr="00F032DC">
        <w:tc>
          <w:tcPr>
            <w:tcW w:w="1980" w:type="dxa"/>
            <w:vMerge w:val="restart"/>
            <w:shd w:val="clear" w:color="auto" w:fill="F2F2F2" w:themeFill="background1" w:themeFillShade="F2"/>
          </w:tcPr>
          <w:p w14:paraId="32E749E6" w14:textId="77777777" w:rsidR="006E6127" w:rsidRDefault="006E6127" w:rsidP="005D7571">
            <w:pPr>
              <w:rPr>
                <w:b/>
              </w:rPr>
            </w:pPr>
            <w:r>
              <w:rPr>
                <w:b/>
              </w:rPr>
              <w:t>Project Highlights:</w:t>
            </w:r>
          </w:p>
        </w:tc>
        <w:tc>
          <w:tcPr>
            <w:tcW w:w="425" w:type="dxa"/>
            <w:shd w:val="clear" w:color="auto" w:fill="F2F2F2" w:themeFill="background1" w:themeFillShade="F2"/>
          </w:tcPr>
          <w:p w14:paraId="6E0ABFD6" w14:textId="77777777" w:rsidR="006E6127" w:rsidRDefault="006E6127" w:rsidP="005D7571">
            <w:r>
              <w:t>1.</w:t>
            </w:r>
          </w:p>
        </w:tc>
        <w:tc>
          <w:tcPr>
            <w:tcW w:w="6611" w:type="dxa"/>
          </w:tcPr>
          <w:p w14:paraId="2D6E794B" w14:textId="5A989351" w:rsidR="006E6127" w:rsidRDefault="002D396A" w:rsidP="005D7571">
            <w:r>
              <w:t>Interdisciplinary chemical biology</w:t>
            </w:r>
          </w:p>
        </w:tc>
      </w:tr>
      <w:tr w:rsidR="006E6127" w14:paraId="6A3A0D58" w14:textId="77777777" w:rsidTr="00F032DC">
        <w:tc>
          <w:tcPr>
            <w:tcW w:w="1980" w:type="dxa"/>
            <w:vMerge/>
            <w:shd w:val="clear" w:color="auto" w:fill="F2F2F2" w:themeFill="background1" w:themeFillShade="F2"/>
          </w:tcPr>
          <w:p w14:paraId="0469E66A" w14:textId="77777777" w:rsidR="006E6127" w:rsidRDefault="006E6127" w:rsidP="005D7571">
            <w:pPr>
              <w:rPr>
                <w:b/>
              </w:rPr>
            </w:pPr>
          </w:p>
        </w:tc>
        <w:tc>
          <w:tcPr>
            <w:tcW w:w="425" w:type="dxa"/>
            <w:shd w:val="clear" w:color="auto" w:fill="F2F2F2" w:themeFill="background1" w:themeFillShade="F2"/>
          </w:tcPr>
          <w:p w14:paraId="6DB929FA" w14:textId="77777777" w:rsidR="006E6127" w:rsidRDefault="006E6127" w:rsidP="005D7571">
            <w:r>
              <w:t>2.</w:t>
            </w:r>
          </w:p>
        </w:tc>
        <w:tc>
          <w:tcPr>
            <w:tcW w:w="6611" w:type="dxa"/>
          </w:tcPr>
          <w:p w14:paraId="738C58DD" w14:textId="4600FBC7" w:rsidR="006E6127" w:rsidRDefault="002D396A" w:rsidP="005D7571">
            <w:r>
              <w:t>Novel drug discovery technology</w:t>
            </w:r>
          </w:p>
        </w:tc>
      </w:tr>
      <w:tr w:rsidR="006E6127" w14:paraId="5992A2EF" w14:textId="77777777" w:rsidTr="00F032DC">
        <w:tc>
          <w:tcPr>
            <w:tcW w:w="1980" w:type="dxa"/>
            <w:vMerge/>
            <w:shd w:val="clear" w:color="auto" w:fill="F2F2F2" w:themeFill="background1" w:themeFillShade="F2"/>
          </w:tcPr>
          <w:p w14:paraId="501EDAEF" w14:textId="77777777" w:rsidR="006E6127" w:rsidRDefault="006E6127" w:rsidP="005D7571">
            <w:pPr>
              <w:rPr>
                <w:b/>
              </w:rPr>
            </w:pPr>
          </w:p>
        </w:tc>
        <w:tc>
          <w:tcPr>
            <w:tcW w:w="425" w:type="dxa"/>
            <w:shd w:val="clear" w:color="auto" w:fill="F2F2F2" w:themeFill="background1" w:themeFillShade="F2"/>
          </w:tcPr>
          <w:p w14:paraId="4AC1E73A" w14:textId="77777777" w:rsidR="006E6127" w:rsidRDefault="006E6127" w:rsidP="005D7571">
            <w:r>
              <w:t>3.</w:t>
            </w:r>
          </w:p>
        </w:tc>
        <w:tc>
          <w:tcPr>
            <w:tcW w:w="6611" w:type="dxa"/>
          </w:tcPr>
          <w:p w14:paraId="0BD08533" w14:textId="74812BB8" w:rsidR="006E6127" w:rsidRDefault="002D396A" w:rsidP="005D7571">
            <w:r>
              <w:t>New concepts in medicinal chemistry</w:t>
            </w:r>
          </w:p>
        </w:tc>
      </w:tr>
      <w:tr w:rsidR="006E6127" w14:paraId="29387A84" w14:textId="77777777" w:rsidTr="00F032DC">
        <w:tc>
          <w:tcPr>
            <w:tcW w:w="9016" w:type="dxa"/>
            <w:gridSpan w:val="3"/>
            <w:shd w:val="clear" w:color="auto" w:fill="F2F2F2" w:themeFill="background1" w:themeFillShade="F2"/>
          </w:tcPr>
          <w:p w14:paraId="69818782" w14:textId="1563F59B" w:rsidR="006E6127" w:rsidRDefault="006E6127" w:rsidP="00836A66">
            <w:r>
              <w:rPr>
                <w:b/>
              </w:rPr>
              <w:t xml:space="preserve">Project Overview </w:t>
            </w:r>
          </w:p>
        </w:tc>
      </w:tr>
      <w:tr w:rsidR="006E6127" w14:paraId="62CB8AA0" w14:textId="77777777" w:rsidTr="00F032DC">
        <w:tc>
          <w:tcPr>
            <w:tcW w:w="9016" w:type="dxa"/>
            <w:gridSpan w:val="3"/>
          </w:tcPr>
          <w:p w14:paraId="6D53CD94" w14:textId="3315EC1B" w:rsidR="002D396A" w:rsidRDefault="002D396A" w:rsidP="002D396A">
            <w:pPr>
              <w:pStyle w:val="NoSpacing"/>
            </w:pPr>
            <w:r>
              <w:t>The need for new medicines that work through novel and unorthodox mechanisms is more striking than ever because of increased resistance to existing drugs such as antibiotics and cancer therapies. In this project we will develop a drug discovery platform that can specifically identify and profile a highly novel drug class with huge potential: protein-protein interaction</w:t>
            </w:r>
            <w:r w:rsidR="0045689F">
              <w:t xml:space="preserve"> (PPI)</w:t>
            </w:r>
            <w:r>
              <w:t xml:space="preserve"> stabilisers, or ‘molecular glues’. </w:t>
            </w:r>
          </w:p>
          <w:p w14:paraId="4302882C" w14:textId="77777777" w:rsidR="002D396A" w:rsidRDefault="002D396A" w:rsidP="002D396A">
            <w:pPr>
              <w:pStyle w:val="NoSpacing"/>
            </w:pPr>
          </w:p>
          <w:p w14:paraId="2A8F7B1C" w14:textId="4F4F1F43" w:rsidR="002D396A" w:rsidRDefault="0045689F" w:rsidP="002D396A">
            <w:pPr>
              <w:pStyle w:val="NoSpacing"/>
            </w:pPr>
            <w:r>
              <w:t xml:space="preserve">Using </w:t>
            </w:r>
            <w:r w:rsidR="002D396A">
              <w:t xml:space="preserve">molecular glues to stabilise </w:t>
            </w:r>
            <w:r>
              <w:t>protein-protein interactions</w:t>
            </w:r>
            <w:r w:rsidR="002D396A">
              <w:t xml:space="preserve"> has the potential to be</w:t>
            </w:r>
            <w:r>
              <w:t xml:space="preserve"> a</w:t>
            </w:r>
            <w:r w:rsidR="002D396A">
              <w:t xml:space="preserve"> highly effective</w:t>
            </w:r>
            <w:r>
              <w:t xml:space="preserve"> strategy</w:t>
            </w:r>
            <w:r w:rsidR="002D396A">
              <w:t xml:space="preserve"> across a multitude of, as yet, unexplored </w:t>
            </w:r>
            <w:r>
              <w:t xml:space="preserve">drug </w:t>
            </w:r>
            <w:r w:rsidR="002D396A">
              <w:t>targets. Despite the potential, there is a distinct lack of R&amp;D programmes dedicated to molecular glue discovery within the pharmaceutical sector. One reason for this is that PPI stabilisation does not adhere to the classical rules of drug discovery. Therefore, existing high-throughput discovery methodologies lack the versatility and sensitivity to identify relevant ‘hit’ molecules that feed the developmental pipeline.</w:t>
            </w:r>
          </w:p>
          <w:p w14:paraId="5D72A282" w14:textId="77777777" w:rsidR="002D396A" w:rsidRDefault="002D396A" w:rsidP="002D396A">
            <w:pPr>
              <w:pStyle w:val="NoSpacing"/>
            </w:pPr>
          </w:p>
          <w:p w14:paraId="23BCD6C3" w14:textId="77777777" w:rsidR="00E34582" w:rsidRDefault="002D396A" w:rsidP="002D396A">
            <w:pPr>
              <w:pStyle w:val="NoSpacing"/>
            </w:pPr>
            <w:r>
              <w:t xml:space="preserve">This </w:t>
            </w:r>
            <w:r w:rsidR="0045689F">
              <w:t>project</w:t>
            </w:r>
            <w:r>
              <w:t xml:space="preserve"> will directly address this issue by </w:t>
            </w:r>
            <w:r w:rsidR="0045689F">
              <w:t>developing a</w:t>
            </w:r>
            <w:r>
              <w:t xml:space="preserve"> high-throughput screening platform specifically geared toward identifying molecular glues.</w:t>
            </w:r>
            <w:r w:rsidR="0045689F">
              <w:t xml:space="preserve"> The Doveston group has recently developed a high-throughput fluorescence-based approach to detect molecules that bind at the interface between two interacting proteins. Such molecules are the ideal starting points for optimisation into potent and selective molecular glues. </w:t>
            </w:r>
            <w:r w:rsidR="00E34582">
              <w:t xml:space="preserve">We now want to further develop this technology into a versatile </w:t>
            </w:r>
            <w:r>
              <w:t>‘PPI Interface Modulation Screen’ (PIMS)</w:t>
            </w:r>
            <w:r w:rsidR="00E34582">
              <w:t>.</w:t>
            </w:r>
          </w:p>
          <w:p w14:paraId="59A2C8CC" w14:textId="77777777" w:rsidR="00E34582" w:rsidRDefault="00E34582" w:rsidP="002D396A">
            <w:pPr>
              <w:pStyle w:val="NoSpacing"/>
            </w:pPr>
          </w:p>
          <w:p w14:paraId="11D13E0E" w14:textId="302394FD" w:rsidR="002D396A" w:rsidRDefault="00E34582" w:rsidP="002D396A">
            <w:pPr>
              <w:pStyle w:val="NoSpacing"/>
            </w:pPr>
            <w:r>
              <w:t xml:space="preserve">PIMS </w:t>
            </w:r>
            <w:r w:rsidR="002D396A">
              <w:t xml:space="preserve">will uniquely combine biorthogonal chemical reactions and biophysical analytical techniques to identify molecules that bind at PPI interfaces, and assess their activity in a simultaneous </w:t>
            </w:r>
            <w:r w:rsidR="002D396A">
              <w:lastRenderedPageBreak/>
              <w:t xml:space="preserve">manner. This approach is advantageous because molecules can be profiled according to binding and activity in order to prioritise hits for follow-up validation. It avoids inadvertent disregard, or complete oversight, of promising starting points for optimisation that may show non-classical profiles i.e. high activity but low affinity binding, or high affinity binding but low activity.  </w:t>
            </w:r>
          </w:p>
          <w:p w14:paraId="234656FC" w14:textId="77777777" w:rsidR="002D396A" w:rsidRDefault="002D396A" w:rsidP="002D396A">
            <w:pPr>
              <w:pStyle w:val="NoSpacing"/>
            </w:pPr>
          </w:p>
          <w:p w14:paraId="5C83C85A" w14:textId="77777777" w:rsidR="002D396A" w:rsidRDefault="002D396A" w:rsidP="002D396A">
            <w:pPr>
              <w:pStyle w:val="NoSpacing"/>
            </w:pPr>
            <w:r>
              <w:t xml:space="preserve">The PIMS technology has the potential to kick start pharmaceutical R&amp;D programmes dedicated to the discovery of novel molecular glue medicines. Given the vast scope of potential PPI targets, this presents a unique opportunity to develop treatments for diseases that present the biggest challenges to our society today and in the future.  </w:t>
            </w:r>
          </w:p>
          <w:p w14:paraId="76C0F031" w14:textId="77777777" w:rsidR="006E6127" w:rsidRDefault="006E6127" w:rsidP="005D7571">
            <w:pPr>
              <w:rPr>
                <w:b/>
              </w:rPr>
            </w:pPr>
          </w:p>
        </w:tc>
      </w:tr>
      <w:tr w:rsidR="006E6127" w14:paraId="3C704C93" w14:textId="77777777" w:rsidTr="00F032DC">
        <w:tc>
          <w:tcPr>
            <w:tcW w:w="9016" w:type="dxa"/>
            <w:gridSpan w:val="3"/>
            <w:shd w:val="clear" w:color="auto" w:fill="F2F2F2" w:themeFill="background1" w:themeFillShade="F2"/>
          </w:tcPr>
          <w:p w14:paraId="3591FBA9" w14:textId="36D1E6FE" w:rsidR="006E6127" w:rsidRDefault="006E6127" w:rsidP="00836A66">
            <w:pPr>
              <w:rPr>
                <w:b/>
              </w:rPr>
            </w:pPr>
            <w:r>
              <w:rPr>
                <w:b/>
              </w:rPr>
              <w:lastRenderedPageBreak/>
              <w:t xml:space="preserve">Methodology </w:t>
            </w:r>
          </w:p>
        </w:tc>
      </w:tr>
      <w:tr w:rsidR="006E6127" w14:paraId="336CD0D6" w14:textId="77777777" w:rsidTr="00F032DC">
        <w:tc>
          <w:tcPr>
            <w:tcW w:w="9016" w:type="dxa"/>
            <w:gridSpan w:val="3"/>
            <w:tcBorders>
              <w:bottom w:val="single" w:sz="4" w:space="0" w:color="auto"/>
            </w:tcBorders>
          </w:tcPr>
          <w:p w14:paraId="2E607436" w14:textId="77777777" w:rsidR="006E6127" w:rsidRDefault="006E6127" w:rsidP="005D7571"/>
          <w:p w14:paraId="6AE926EF" w14:textId="50CC2588" w:rsidR="0040199F" w:rsidRDefault="0040199F" w:rsidP="0040199F">
            <w:pPr>
              <w:pStyle w:val="NoSpacing"/>
            </w:pPr>
            <w:r>
              <w:t>As a developmental case study we will focus on the PPIs of an important hu</w:t>
            </w:r>
            <w:r w:rsidR="008930A7">
              <w:t>b protein called 14-3-3. 14-3-3</w:t>
            </w:r>
            <w:r>
              <w:t xml:space="preserve"> bind</w:t>
            </w:r>
            <w:r w:rsidR="008930A7">
              <w:t>s</w:t>
            </w:r>
            <w:r>
              <w:t xml:space="preserve"> to a range of binding partners in o</w:t>
            </w:r>
            <w:r w:rsidR="005103ED">
              <w:t>rder to modulate their activity</w:t>
            </w:r>
            <w:r>
              <w:t xml:space="preserve">. </w:t>
            </w:r>
            <w:r w:rsidR="008930A7">
              <w:t>It is an ideal test bed because many of the interactions can be stabilised by molecular glues.</w:t>
            </w:r>
            <w:r>
              <w:t xml:space="preserve"> In addition, 14-3-3 PPIs are </w:t>
            </w:r>
            <w:r w:rsidR="008930A7">
              <w:t>an emerging class of</w:t>
            </w:r>
            <w:r>
              <w:t xml:space="preserve"> drug targets in their own right. The project will be carried out in four phases:</w:t>
            </w:r>
          </w:p>
          <w:p w14:paraId="0D879849" w14:textId="77777777" w:rsidR="0040199F" w:rsidRDefault="0040199F" w:rsidP="0040199F">
            <w:pPr>
              <w:pStyle w:val="NoSpacing"/>
            </w:pPr>
          </w:p>
          <w:p w14:paraId="25E9ECEE" w14:textId="2F85555E" w:rsidR="0040199F" w:rsidRDefault="0040199F" w:rsidP="0040199F">
            <w:pPr>
              <w:pStyle w:val="NoSpacing"/>
            </w:pPr>
            <w:r w:rsidRPr="0040199F">
              <w:rPr>
                <w:b/>
              </w:rPr>
              <w:t>Phase 1:</w:t>
            </w:r>
            <w:r>
              <w:t xml:space="preserve"> </w:t>
            </w:r>
            <w:r w:rsidR="005103ED">
              <w:t>Refine</w:t>
            </w:r>
            <w:r>
              <w:t xml:space="preserve"> target-guided synthesis methodology as a means to ‘capture’ novel ligands that bind in proximity to </w:t>
            </w:r>
            <w:r w:rsidR="005103ED">
              <w:t>PPI interfaces.</w:t>
            </w:r>
          </w:p>
          <w:p w14:paraId="1A333A15" w14:textId="77777777" w:rsidR="0040199F" w:rsidRDefault="0040199F" w:rsidP="0040199F">
            <w:pPr>
              <w:pStyle w:val="NoSpacing"/>
            </w:pPr>
          </w:p>
          <w:p w14:paraId="3A480661" w14:textId="443C810C" w:rsidR="0040199F" w:rsidRDefault="0040199F" w:rsidP="0040199F">
            <w:pPr>
              <w:pStyle w:val="NoSpacing"/>
            </w:pPr>
            <w:r w:rsidRPr="0040199F">
              <w:rPr>
                <w:b/>
              </w:rPr>
              <w:t>Phase 2:</w:t>
            </w:r>
            <w:r>
              <w:t xml:space="preserve"> Optimise a fluorescence-based</w:t>
            </w:r>
            <w:r w:rsidR="005103ED">
              <w:t xml:space="preserve"> thiol quantification</w:t>
            </w:r>
            <w:r>
              <w:t xml:space="preserve"> assay</w:t>
            </w:r>
            <w:r w:rsidR="005103ED">
              <w:t xml:space="preserve"> developed in the Doveston group</w:t>
            </w:r>
            <w:r>
              <w:t xml:space="preserve"> to </w:t>
            </w:r>
            <w:r w:rsidR="005103ED">
              <w:t xml:space="preserve">detect </w:t>
            </w:r>
            <w:r>
              <w:t>interface ligand binding in a high-throughput manner.</w:t>
            </w:r>
            <w:r w:rsidR="005103ED">
              <w:t xml:space="preserve"> </w:t>
            </w:r>
          </w:p>
          <w:p w14:paraId="78298D67" w14:textId="77777777" w:rsidR="0040199F" w:rsidRDefault="0040199F" w:rsidP="0040199F">
            <w:pPr>
              <w:pStyle w:val="NoSpacing"/>
            </w:pPr>
          </w:p>
          <w:p w14:paraId="6D22A446" w14:textId="0DED8149" w:rsidR="0040199F" w:rsidRDefault="005103ED" w:rsidP="0040199F">
            <w:pPr>
              <w:pStyle w:val="NoSpacing"/>
            </w:pPr>
            <w:r w:rsidRPr="005103ED">
              <w:rPr>
                <w:b/>
              </w:rPr>
              <w:t>Phase 3:</w:t>
            </w:r>
            <w:r w:rsidR="0040199F">
              <w:t xml:space="preserve"> </w:t>
            </w:r>
            <w:r>
              <w:t>D</w:t>
            </w:r>
            <w:r w:rsidR="0040199F">
              <w:t xml:space="preserve">evelop the </w:t>
            </w:r>
            <w:r>
              <w:t>PIMS technology</w:t>
            </w:r>
            <w:r w:rsidR="0040199F">
              <w:t xml:space="preserve"> that quantifies ligand binding and qualitatively profiles biological activity</w:t>
            </w:r>
            <w:r>
              <w:t xml:space="preserve"> by hybridising the thiol quantification assay with fluorescence polarisation methodology</w:t>
            </w:r>
            <w:r w:rsidR="0040199F">
              <w:t>.</w:t>
            </w:r>
          </w:p>
          <w:p w14:paraId="6504F502" w14:textId="77777777" w:rsidR="0040199F" w:rsidRDefault="0040199F" w:rsidP="0040199F">
            <w:pPr>
              <w:pStyle w:val="NoSpacing"/>
            </w:pPr>
          </w:p>
          <w:p w14:paraId="0A383701" w14:textId="0AF30695" w:rsidR="0040199F" w:rsidRDefault="005103ED" w:rsidP="0040199F">
            <w:pPr>
              <w:pStyle w:val="NoSpacing"/>
            </w:pPr>
            <w:r w:rsidRPr="005103ED">
              <w:rPr>
                <w:b/>
              </w:rPr>
              <w:t>Phase 4:</w:t>
            </w:r>
            <w:r>
              <w:t xml:space="preserve"> D</w:t>
            </w:r>
            <w:r w:rsidR="0040199F">
              <w:t>emonstrate the potential impact of PIMS by screening bespoke libraries and commercial compound collections</w:t>
            </w:r>
            <w:r>
              <w:t xml:space="preserve"> against the 14-3-3 interaction</w:t>
            </w:r>
            <w:r w:rsidR="0040199F">
              <w:t xml:space="preserve"> with the estrogen receptor </w:t>
            </w:r>
            <w:r w:rsidR="0040199F">
              <w:rPr>
                <w:rFonts w:cstheme="minorHAnsi"/>
              </w:rPr>
              <w:t>α</w:t>
            </w:r>
            <w:r>
              <w:t>.</w:t>
            </w:r>
          </w:p>
          <w:p w14:paraId="3B367680" w14:textId="091303A2" w:rsidR="0040199F" w:rsidRPr="00F26485" w:rsidRDefault="0040199F" w:rsidP="005D7571"/>
        </w:tc>
      </w:tr>
    </w:tbl>
    <w:p w14:paraId="4A5EE92E" w14:textId="77777777" w:rsidR="006E6127" w:rsidRDefault="006E6127" w:rsidP="005D7571">
      <w:pPr>
        <w:spacing w:after="0" w:line="240" w:lineRule="auto"/>
        <w:rPr>
          <w:b/>
          <w:u w:val="single"/>
        </w:rPr>
      </w:pPr>
    </w:p>
    <w:tbl>
      <w:tblPr>
        <w:tblStyle w:val="TableGrid"/>
        <w:tblW w:w="0" w:type="auto"/>
        <w:tblLook w:val="04A0" w:firstRow="1" w:lastRow="0" w:firstColumn="1" w:lastColumn="0" w:noHBand="0" w:noVBand="1"/>
      </w:tblPr>
      <w:tblGrid>
        <w:gridCol w:w="2352"/>
        <w:gridCol w:w="6664"/>
      </w:tblGrid>
      <w:tr w:rsidR="008A3399" w14:paraId="286272D8" w14:textId="77777777" w:rsidTr="00F032DC">
        <w:tc>
          <w:tcPr>
            <w:tcW w:w="2352" w:type="dxa"/>
            <w:shd w:val="clear" w:color="auto" w:fill="F2F2F2" w:themeFill="background1" w:themeFillShade="F2"/>
          </w:tcPr>
          <w:p w14:paraId="52184062" w14:textId="02FBC194" w:rsidR="008A3399" w:rsidRPr="00982DBC" w:rsidRDefault="00730282" w:rsidP="008A3399">
            <w:pPr>
              <w:rPr>
                <w:b/>
              </w:rPr>
            </w:pPr>
            <w:r>
              <w:rPr>
                <w:b/>
              </w:rPr>
              <w:t>References</w:t>
            </w:r>
          </w:p>
        </w:tc>
        <w:tc>
          <w:tcPr>
            <w:tcW w:w="6664" w:type="dxa"/>
          </w:tcPr>
          <w:p w14:paraId="23AA70B1" w14:textId="77777777" w:rsidR="008A3399" w:rsidRPr="00EA5279" w:rsidRDefault="008A3399" w:rsidP="008A3399">
            <w:pPr>
              <w:pStyle w:val="BATitle"/>
              <w:spacing w:before="0" w:after="0" w:line="240" w:lineRule="auto"/>
              <w:jc w:val="both"/>
              <w:rPr>
                <w:i/>
                <w:sz w:val="20"/>
              </w:rPr>
            </w:pPr>
            <w:r w:rsidRPr="00EA5279">
              <w:rPr>
                <w:i/>
                <w:sz w:val="20"/>
              </w:rPr>
              <w:t>Cooperative Stabilisation of 14-3-3 Protein-Protein Interactions via Covalent Protein Modification</w:t>
            </w:r>
            <w:r w:rsidRPr="00EA5279">
              <w:rPr>
                <w:sz w:val="20"/>
              </w:rPr>
              <w:t xml:space="preserve">, M. Falcicchio, J. A. Ward, S. Y. Chothia, J. Basran, A. Mohindra, S. Macip, P. Roversi, </w:t>
            </w:r>
            <w:r w:rsidRPr="00EB314D">
              <w:rPr>
                <w:sz w:val="20"/>
              </w:rPr>
              <w:t>R. G. Doveston</w:t>
            </w:r>
            <w:r w:rsidRPr="00EA5279">
              <w:rPr>
                <w:sz w:val="20"/>
              </w:rPr>
              <w:t xml:space="preserve">, </w:t>
            </w:r>
            <w:r w:rsidRPr="00EA5279">
              <w:rPr>
                <w:i/>
                <w:sz w:val="20"/>
              </w:rPr>
              <w:t xml:space="preserve">Chem. Sci. </w:t>
            </w:r>
            <w:r w:rsidRPr="00EA5279">
              <w:rPr>
                <w:b/>
                <w:sz w:val="20"/>
              </w:rPr>
              <w:t>2021</w:t>
            </w:r>
            <w:r w:rsidRPr="00EA5279">
              <w:rPr>
                <w:sz w:val="20"/>
              </w:rPr>
              <w:t xml:space="preserve">, </w:t>
            </w:r>
            <w:r>
              <w:rPr>
                <w:sz w:val="20"/>
              </w:rPr>
              <w:t>12, 12985-12992.</w:t>
            </w:r>
          </w:p>
          <w:p w14:paraId="5CB1FDC8" w14:textId="77777777" w:rsidR="008A3399" w:rsidRDefault="008A3399" w:rsidP="008A3399">
            <w:pPr>
              <w:pStyle w:val="BATitle"/>
              <w:spacing w:before="0" w:after="0" w:line="240" w:lineRule="auto"/>
              <w:jc w:val="both"/>
              <w:rPr>
                <w:i/>
                <w:sz w:val="20"/>
              </w:rPr>
            </w:pPr>
          </w:p>
          <w:p w14:paraId="3361C670" w14:textId="77777777" w:rsidR="008A3399" w:rsidRDefault="008A3399" w:rsidP="008A3399">
            <w:pPr>
              <w:pStyle w:val="BATitle"/>
              <w:spacing w:before="0" w:after="0" w:line="240" w:lineRule="auto"/>
              <w:jc w:val="both"/>
              <w:rPr>
                <w:sz w:val="20"/>
              </w:rPr>
            </w:pPr>
            <w:r>
              <w:rPr>
                <w:i/>
                <w:sz w:val="20"/>
              </w:rPr>
              <w:t>Discovering Protein-Protein Interaction Stabilisers by Native Mass Spectrometry</w:t>
            </w:r>
            <w:r>
              <w:rPr>
                <w:sz w:val="20"/>
              </w:rPr>
              <w:t xml:space="preserve">, J. Bellamy-Carter, M. Mohata, M. Falcicchio, J. Basran, Y. Higuchi, R.G. Doveston, A. C. Leney, </w:t>
            </w:r>
            <w:r>
              <w:rPr>
                <w:i/>
                <w:sz w:val="20"/>
              </w:rPr>
              <w:t xml:space="preserve">Chem. Sci. </w:t>
            </w:r>
            <w:r>
              <w:rPr>
                <w:b/>
                <w:sz w:val="20"/>
              </w:rPr>
              <w:t>2021</w:t>
            </w:r>
            <w:r>
              <w:rPr>
                <w:sz w:val="20"/>
              </w:rPr>
              <w:t>, 12, 10724-20731.</w:t>
            </w:r>
          </w:p>
          <w:p w14:paraId="076AD462" w14:textId="77777777" w:rsidR="008A3399" w:rsidRDefault="008A3399" w:rsidP="008A3399"/>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3E381" w14:textId="77777777" w:rsidR="006E6127" w:rsidRDefault="006E6127" w:rsidP="006E6127">
      <w:pPr>
        <w:spacing w:after="0" w:line="240" w:lineRule="auto"/>
      </w:pPr>
      <w:r>
        <w:separator/>
      </w:r>
    </w:p>
  </w:endnote>
  <w:endnote w:type="continuationSeparator" w:id="0">
    <w:p w14:paraId="7D8940B7" w14:textId="77777777" w:rsidR="006E6127" w:rsidRDefault="006E6127"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9B04F" w14:textId="77777777" w:rsidR="006E6127" w:rsidRDefault="006E6127" w:rsidP="006E6127">
      <w:pPr>
        <w:spacing w:after="0" w:line="240" w:lineRule="auto"/>
      </w:pPr>
      <w:r>
        <w:separator/>
      </w:r>
    </w:p>
  </w:footnote>
  <w:footnote w:type="continuationSeparator" w:id="0">
    <w:p w14:paraId="66199298" w14:textId="77777777" w:rsidR="006E6127" w:rsidRDefault="006E6127"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2"/>
  </w:num>
  <w:num w:numId="5">
    <w:abstractNumId w:val="6"/>
  </w:num>
  <w:num w:numId="6">
    <w:abstractNumId w:val="11"/>
  </w:num>
  <w:num w:numId="7">
    <w:abstractNumId w:val="2"/>
  </w:num>
  <w:num w:numId="8">
    <w:abstractNumId w:val="4"/>
  </w:num>
  <w:num w:numId="9">
    <w:abstractNumId w:val="5"/>
  </w:num>
  <w:num w:numId="10">
    <w:abstractNumId w:val="13"/>
  </w:num>
  <w:num w:numId="11">
    <w:abstractNumId w:val="1"/>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7"/>
    <w:rsid w:val="000362E9"/>
    <w:rsid w:val="000B53E0"/>
    <w:rsid w:val="000D022E"/>
    <w:rsid w:val="000D3A88"/>
    <w:rsid w:val="000D4FBC"/>
    <w:rsid w:val="000E2872"/>
    <w:rsid w:val="0010106D"/>
    <w:rsid w:val="001A7EBB"/>
    <w:rsid w:val="001B577C"/>
    <w:rsid w:val="002C5057"/>
    <w:rsid w:val="002D396A"/>
    <w:rsid w:val="002F5466"/>
    <w:rsid w:val="00325B09"/>
    <w:rsid w:val="00337001"/>
    <w:rsid w:val="0035424F"/>
    <w:rsid w:val="00397A73"/>
    <w:rsid w:val="003A3C98"/>
    <w:rsid w:val="0040199F"/>
    <w:rsid w:val="00437B57"/>
    <w:rsid w:val="0045689F"/>
    <w:rsid w:val="00477FE3"/>
    <w:rsid w:val="00484F5D"/>
    <w:rsid w:val="004C63D7"/>
    <w:rsid w:val="004C6DE3"/>
    <w:rsid w:val="004E6471"/>
    <w:rsid w:val="005103ED"/>
    <w:rsid w:val="005149F2"/>
    <w:rsid w:val="00582BA8"/>
    <w:rsid w:val="005D7571"/>
    <w:rsid w:val="006128FC"/>
    <w:rsid w:val="00665346"/>
    <w:rsid w:val="0066687C"/>
    <w:rsid w:val="00666D0A"/>
    <w:rsid w:val="00675FF9"/>
    <w:rsid w:val="006B70DD"/>
    <w:rsid w:val="006E6127"/>
    <w:rsid w:val="006F25A8"/>
    <w:rsid w:val="00710E3A"/>
    <w:rsid w:val="00730282"/>
    <w:rsid w:val="00751EB7"/>
    <w:rsid w:val="007B63D9"/>
    <w:rsid w:val="00836A66"/>
    <w:rsid w:val="00862C2F"/>
    <w:rsid w:val="0088062A"/>
    <w:rsid w:val="00890982"/>
    <w:rsid w:val="008930A7"/>
    <w:rsid w:val="008A3399"/>
    <w:rsid w:val="008A58A4"/>
    <w:rsid w:val="008D6E24"/>
    <w:rsid w:val="00912C2C"/>
    <w:rsid w:val="00973B60"/>
    <w:rsid w:val="009F1F3E"/>
    <w:rsid w:val="00A45C8A"/>
    <w:rsid w:val="00AB7918"/>
    <w:rsid w:val="00AF4B84"/>
    <w:rsid w:val="00B36EBC"/>
    <w:rsid w:val="00C72021"/>
    <w:rsid w:val="00CF30D8"/>
    <w:rsid w:val="00D026B5"/>
    <w:rsid w:val="00D5202E"/>
    <w:rsid w:val="00D74FCA"/>
    <w:rsid w:val="00DA7D0B"/>
    <w:rsid w:val="00E34582"/>
    <w:rsid w:val="00E35C41"/>
    <w:rsid w:val="00E541E4"/>
    <w:rsid w:val="00E75690"/>
    <w:rsid w:val="00EB314D"/>
    <w:rsid w:val="00F219ED"/>
    <w:rsid w:val="00F44629"/>
    <w:rsid w:val="00F56631"/>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paragraph" w:styleId="NoSpacing">
    <w:name w:val="No Spacing"/>
    <w:uiPriority w:val="1"/>
    <w:qFormat/>
    <w:rsid w:val="002D396A"/>
    <w:pPr>
      <w:spacing w:after="0" w:line="240" w:lineRule="auto"/>
    </w:pPr>
  </w:style>
  <w:style w:type="paragraph" w:customStyle="1" w:styleId="BATitle">
    <w:name w:val="BA_Title"/>
    <w:basedOn w:val="Normal"/>
    <w:next w:val="Normal"/>
    <w:rsid w:val="00EB314D"/>
    <w:pPr>
      <w:spacing w:before="720" w:after="360" w:line="480" w:lineRule="auto"/>
      <w:jc w:val="center"/>
    </w:pPr>
    <w:rPr>
      <w:rFonts w:ascii="Times New Roman" w:eastAsia="Times New Roman" w:hAnsi="Times New Roman" w:cs="Times New Roman"/>
      <w:color w:val="auto"/>
      <w:sz w:val="4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doveston@leices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56A0D-3B7B-4A26-843A-AFF8A6D3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7</cp:revision>
  <dcterms:created xsi:type="dcterms:W3CDTF">2021-12-21T10:12:00Z</dcterms:created>
  <dcterms:modified xsi:type="dcterms:W3CDTF">2022-01-10T15:33:00Z</dcterms:modified>
</cp:coreProperties>
</file>