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4C" w:rsidRDefault="008405D6" w:rsidP="008405D6">
      <w:pPr>
        <w:rPr>
          <w:rFonts w:cstheme="minorHAnsi"/>
          <w:b/>
          <w:sz w:val="44"/>
          <w:szCs w:val="28"/>
        </w:rPr>
      </w:pPr>
      <w:r w:rsidRPr="00D37ED1">
        <w:rPr>
          <w:rFonts w:cstheme="minorHAnsi"/>
          <w:b/>
          <w:sz w:val="44"/>
          <w:szCs w:val="28"/>
        </w:rPr>
        <w:t>CONTENTS</w:t>
      </w:r>
    </w:p>
    <w:p w:rsidR="008F3521" w:rsidRDefault="00E35513">
      <w:pPr>
        <w:pStyle w:val="TOC1"/>
        <w:tabs>
          <w:tab w:val="right" w:leader="dot" w:pos="9016"/>
        </w:tabs>
        <w:rPr>
          <w:rFonts w:eastAsiaTheme="minorEastAsia"/>
          <w:noProof/>
          <w:lang w:eastAsia="en-GB"/>
        </w:rPr>
      </w:pPr>
      <w:r>
        <w:rPr>
          <w:rFonts w:cstheme="minorHAnsi"/>
          <w:b/>
          <w:sz w:val="44"/>
          <w:szCs w:val="28"/>
        </w:rPr>
        <w:fldChar w:fldCharType="begin"/>
      </w:r>
      <w:r>
        <w:rPr>
          <w:rFonts w:cstheme="minorHAnsi"/>
          <w:b/>
          <w:sz w:val="44"/>
          <w:szCs w:val="28"/>
        </w:rPr>
        <w:instrText xml:space="preserve"> TOC \o "1-3" \h \z \u </w:instrText>
      </w:r>
      <w:r>
        <w:rPr>
          <w:rFonts w:cstheme="minorHAnsi"/>
          <w:b/>
          <w:sz w:val="44"/>
          <w:szCs w:val="28"/>
        </w:rPr>
        <w:fldChar w:fldCharType="separate"/>
      </w:r>
      <w:hyperlink w:anchor="_Toc101346928" w:history="1">
        <w:r w:rsidR="008F3521" w:rsidRPr="00671046">
          <w:rPr>
            <w:rStyle w:val="Hyperlink"/>
            <w:noProof/>
          </w:rPr>
          <w:t>INTRODUCTION</w:t>
        </w:r>
        <w:r w:rsidR="008F3521">
          <w:rPr>
            <w:noProof/>
            <w:webHidden/>
          </w:rPr>
          <w:tab/>
        </w:r>
        <w:r w:rsidR="008F3521">
          <w:rPr>
            <w:noProof/>
            <w:webHidden/>
          </w:rPr>
          <w:fldChar w:fldCharType="begin"/>
        </w:r>
        <w:r w:rsidR="008F3521">
          <w:rPr>
            <w:noProof/>
            <w:webHidden/>
          </w:rPr>
          <w:instrText xml:space="preserve"> PAGEREF _Toc101346928 \h </w:instrText>
        </w:r>
        <w:r w:rsidR="008F3521">
          <w:rPr>
            <w:noProof/>
            <w:webHidden/>
          </w:rPr>
        </w:r>
        <w:r w:rsidR="008F3521">
          <w:rPr>
            <w:noProof/>
            <w:webHidden/>
          </w:rPr>
          <w:fldChar w:fldCharType="separate"/>
        </w:r>
        <w:r w:rsidR="000063F6">
          <w:rPr>
            <w:noProof/>
            <w:webHidden/>
          </w:rPr>
          <w:t>2</w:t>
        </w:r>
        <w:r w:rsidR="008F3521">
          <w:rPr>
            <w:noProof/>
            <w:webHidden/>
          </w:rPr>
          <w:fldChar w:fldCharType="end"/>
        </w:r>
      </w:hyperlink>
    </w:p>
    <w:p w:rsidR="008F3521" w:rsidRDefault="000805C8">
      <w:pPr>
        <w:pStyle w:val="TOC1"/>
        <w:tabs>
          <w:tab w:val="right" w:leader="dot" w:pos="9016"/>
        </w:tabs>
        <w:rPr>
          <w:rFonts w:eastAsiaTheme="minorEastAsia"/>
          <w:noProof/>
          <w:lang w:eastAsia="en-GB"/>
        </w:rPr>
      </w:pPr>
      <w:hyperlink w:anchor="_Toc101346929" w:history="1">
        <w:r w:rsidR="008F3521" w:rsidRPr="00671046">
          <w:rPr>
            <w:rStyle w:val="Hyperlink"/>
            <w:noProof/>
          </w:rPr>
          <w:t>SECTION 1 UNIVERSITY FRAMEWORK FOR PANELS AND BOARDS OF EXAMINERS</w:t>
        </w:r>
        <w:r w:rsidR="008F3521">
          <w:rPr>
            <w:noProof/>
            <w:webHidden/>
          </w:rPr>
          <w:tab/>
        </w:r>
        <w:r w:rsidR="008F3521">
          <w:rPr>
            <w:noProof/>
            <w:webHidden/>
          </w:rPr>
          <w:fldChar w:fldCharType="begin"/>
        </w:r>
        <w:r w:rsidR="008F3521">
          <w:rPr>
            <w:noProof/>
            <w:webHidden/>
          </w:rPr>
          <w:instrText xml:space="preserve"> PAGEREF _Toc101346929 \h </w:instrText>
        </w:r>
        <w:r w:rsidR="008F3521">
          <w:rPr>
            <w:noProof/>
            <w:webHidden/>
          </w:rPr>
        </w:r>
        <w:r w:rsidR="008F3521">
          <w:rPr>
            <w:noProof/>
            <w:webHidden/>
          </w:rPr>
          <w:fldChar w:fldCharType="separate"/>
        </w:r>
        <w:r w:rsidR="000063F6">
          <w:rPr>
            <w:noProof/>
            <w:webHidden/>
          </w:rPr>
          <w:t>3</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30" w:history="1">
        <w:r w:rsidR="008F3521" w:rsidRPr="00671046">
          <w:rPr>
            <w:rStyle w:val="Hyperlink"/>
            <w:noProof/>
          </w:rPr>
          <w:t>Boards of Examiners</w:t>
        </w:r>
        <w:r w:rsidR="008F3521">
          <w:rPr>
            <w:noProof/>
            <w:webHidden/>
          </w:rPr>
          <w:tab/>
        </w:r>
        <w:r w:rsidR="008F3521">
          <w:rPr>
            <w:noProof/>
            <w:webHidden/>
          </w:rPr>
          <w:fldChar w:fldCharType="begin"/>
        </w:r>
        <w:r w:rsidR="008F3521">
          <w:rPr>
            <w:noProof/>
            <w:webHidden/>
          </w:rPr>
          <w:instrText xml:space="preserve"> PAGEREF _Toc101346930 \h </w:instrText>
        </w:r>
        <w:r w:rsidR="008F3521">
          <w:rPr>
            <w:noProof/>
            <w:webHidden/>
          </w:rPr>
        </w:r>
        <w:r w:rsidR="008F3521">
          <w:rPr>
            <w:noProof/>
            <w:webHidden/>
          </w:rPr>
          <w:fldChar w:fldCharType="separate"/>
        </w:r>
        <w:r w:rsidR="000063F6">
          <w:rPr>
            <w:noProof/>
            <w:webHidden/>
          </w:rPr>
          <w:t>4</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1" w:history="1">
        <w:r w:rsidR="008F3521" w:rsidRPr="00671046">
          <w:rPr>
            <w:rStyle w:val="Hyperlink"/>
            <w:noProof/>
          </w:rPr>
          <w:t>Role of Boards</w:t>
        </w:r>
        <w:r w:rsidR="008F3521">
          <w:rPr>
            <w:noProof/>
            <w:webHidden/>
          </w:rPr>
          <w:tab/>
        </w:r>
        <w:r w:rsidR="008F3521">
          <w:rPr>
            <w:noProof/>
            <w:webHidden/>
          </w:rPr>
          <w:fldChar w:fldCharType="begin"/>
        </w:r>
        <w:r w:rsidR="008F3521">
          <w:rPr>
            <w:noProof/>
            <w:webHidden/>
          </w:rPr>
          <w:instrText xml:space="preserve"> PAGEREF _Toc101346931 \h </w:instrText>
        </w:r>
        <w:r w:rsidR="008F3521">
          <w:rPr>
            <w:noProof/>
            <w:webHidden/>
          </w:rPr>
        </w:r>
        <w:r w:rsidR="008F3521">
          <w:rPr>
            <w:noProof/>
            <w:webHidden/>
          </w:rPr>
          <w:fldChar w:fldCharType="separate"/>
        </w:r>
        <w:r w:rsidR="000063F6">
          <w:rPr>
            <w:noProof/>
            <w:webHidden/>
          </w:rPr>
          <w:t>4</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2" w:history="1">
        <w:r w:rsidR="008F3521" w:rsidRPr="00671046">
          <w:rPr>
            <w:rStyle w:val="Hyperlink"/>
            <w:noProof/>
          </w:rPr>
          <w:t>Membership</w:t>
        </w:r>
        <w:r w:rsidR="008F3521">
          <w:rPr>
            <w:noProof/>
            <w:webHidden/>
          </w:rPr>
          <w:tab/>
        </w:r>
        <w:r w:rsidR="008F3521">
          <w:rPr>
            <w:noProof/>
            <w:webHidden/>
          </w:rPr>
          <w:fldChar w:fldCharType="begin"/>
        </w:r>
        <w:r w:rsidR="008F3521">
          <w:rPr>
            <w:noProof/>
            <w:webHidden/>
          </w:rPr>
          <w:instrText xml:space="preserve"> PAGEREF _Toc101346932 \h </w:instrText>
        </w:r>
        <w:r w:rsidR="008F3521">
          <w:rPr>
            <w:noProof/>
            <w:webHidden/>
          </w:rPr>
        </w:r>
        <w:r w:rsidR="008F3521">
          <w:rPr>
            <w:noProof/>
            <w:webHidden/>
          </w:rPr>
          <w:fldChar w:fldCharType="separate"/>
        </w:r>
        <w:r w:rsidR="000063F6">
          <w:rPr>
            <w:noProof/>
            <w:webHidden/>
          </w:rPr>
          <w:t>4</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3" w:history="1">
        <w:r w:rsidR="008F3521" w:rsidRPr="00671046">
          <w:rPr>
            <w:rStyle w:val="Hyperlink"/>
            <w:noProof/>
          </w:rPr>
          <w:t>Principles on the Conduct of Business</w:t>
        </w:r>
        <w:r w:rsidR="008F3521">
          <w:rPr>
            <w:noProof/>
            <w:webHidden/>
          </w:rPr>
          <w:tab/>
        </w:r>
        <w:r w:rsidR="008F3521">
          <w:rPr>
            <w:noProof/>
            <w:webHidden/>
          </w:rPr>
          <w:fldChar w:fldCharType="begin"/>
        </w:r>
        <w:r w:rsidR="008F3521">
          <w:rPr>
            <w:noProof/>
            <w:webHidden/>
          </w:rPr>
          <w:instrText xml:space="preserve"> PAGEREF _Toc101346933 \h </w:instrText>
        </w:r>
        <w:r w:rsidR="008F3521">
          <w:rPr>
            <w:noProof/>
            <w:webHidden/>
          </w:rPr>
        </w:r>
        <w:r w:rsidR="008F3521">
          <w:rPr>
            <w:noProof/>
            <w:webHidden/>
          </w:rPr>
          <w:fldChar w:fldCharType="separate"/>
        </w:r>
        <w:r w:rsidR="000063F6">
          <w:rPr>
            <w:noProof/>
            <w:webHidden/>
          </w:rPr>
          <w:t>5</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34" w:history="1">
        <w:r w:rsidR="008F3521" w:rsidRPr="00671046">
          <w:rPr>
            <w:rStyle w:val="Hyperlink"/>
            <w:noProof/>
          </w:rPr>
          <w:t>Mitigating Circumstances Panels</w:t>
        </w:r>
        <w:r w:rsidR="008F3521">
          <w:rPr>
            <w:noProof/>
            <w:webHidden/>
          </w:rPr>
          <w:tab/>
        </w:r>
        <w:r w:rsidR="008F3521">
          <w:rPr>
            <w:noProof/>
            <w:webHidden/>
          </w:rPr>
          <w:fldChar w:fldCharType="begin"/>
        </w:r>
        <w:r w:rsidR="008F3521">
          <w:rPr>
            <w:noProof/>
            <w:webHidden/>
          </w:rPr>
          <w:instrText xml:space="preserve"> PAGEREF _Toc101346934 \h </w:instrText>
        </w:r>
        <w:r w:rsidR="008F3521">
          <w:rPr>
            <w:noProof/>
            <w:webHidden/>
          </w:rPr>
        </w:r>
        <w:r w:rsidR="008F3521">
          <w:rPr>
            <w:noProof/>
            <w:webHidden/>
          </w:rPr>
          <w:fldChar w:fldCharType="separate"/>
        </w:r>
        <w:r w:rsidR="000063F6">
          <w:rPr>
            <w:noProof/>
            <w:webHidden/>
          </w:rPr>
          <w:t>5</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35" w:history="1">
        <w:r w:rsidR="008F3521" w:rsidRPr="00671046">
          <w:rPr>
            <w:rStyle w:val="Hyperlink"/>
            <w:noProof/>
          </w:rPr>
          <w:t>Key Roles at Boards of Examiners</w:t>
        </w:r>
        <w:r w:rsidR="008F3521">
          <w:rPr>
            <w:noProof/>
            <w:webHidden/>
          </w:rPr>
          <w:tab/>
        </w:r>
        <w:r w:rsidR="008F3521">
          <w:rPr>
            <w:noProof/>
            <w:webHidden/>
          </w:rPr>
          <w:fldChar w:fldCharType="begin"/>
        </w:r>
        <w:r w:rsidR="008F3521">
          <w:rPr>
            <w:noProof/>
            <w:webHidden/>
          </w:rPr>
          <w:instrText xml:space="preserve"> PAGEREF _Toc101346935 \h </w:instrText>
        </w:r>
        <w:r w:rsidR="008F3521">
          <w:rPr>
            <w:noProof/>
            <w:webHidden/>
          </w:rPr>
        </w:r>
        <w:r w:rsidR="008F3521">
          <w:rPr>
            <w:noProof/>
            <w:webHidden/>
          </w:rPr>
          <w:fldChar w:fldCharType="separate"/>
        </w:r>
        <w:r w:rsidR="000063F6">
          <w:rPr>
            <w:noProof/>
            <w:webHidden/>
          </w:rPr>
          <w:t>6</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6" w:history="1">
        <w:r w:rsidR="008F3521" w:rsidRPr="00671046">
          <w:rPr>
            <w:rStyle w:val="Hyperlink"/>
            <w:noProof/>
          </w:rPr>
          <w:t>Chair</w:t>
        </w:r>
        <w:r w:rsidR="008F3521">
          <w:rPr>
            <w:noProof/>
            <w:webHidden/>
          </w:rPr>
          <w:tab/>
        </w:r>
        <w:r w:rsidR="008F3521">
          <w:rPr>
            <w:noProof/>
            <w:webHidden/>
          </w:rPr>
          <w:fldChar w:fldCharType="begin"/>
        </w:r>
        <w:r w:rsidR="008F3521">
          <w:rPr>
            <w:noProof/>
            <w:webHidden/>
          </w:rPr>
          <w:instrText xml:space="preserve"> PAGEREF _Toc101346936 \h </w:instrText>
        </w:r>
        <w:r w:rsidR="008F3521">
          <w:rPr>
            <w:noProof/>
            <w:webHidden/>
          </w:rPr>
        </w:r>
        <w:r w:rsidR="008F3521">
          <w:rPr>
            <w:noProof/>
            <w:webHidden/>
          </w:rPr>
          <w:fldChar w:fldCharType="separate"/>
        </w:r>
        <w:r w:rsidR="000063F6">
          <w:rPr>
            <w:noProof/>
            <w:webHidden/>
          </w:rPr>
          <w:t>6</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7" w:history="1">
        <w:r w:rsidR="008F3521" w:rsidRPr="00671046">
          <w:rPr>
            <w:rStyle w:val="Hyperlink"/>
            <w:noProof/>
          </w:rPr>
          <w:t>Secretary</w:t>
        </w:r>
        <w:r w:rsidR="008F3521">
          <w:rPr>
            <w:noProof/>
            <w:webHidden/>
          </w:rPr>
          <w:tab/>
        </w:r>
        <w:r w:rsidR="008F3521">
          <w:rPr>
            <w:noProof/>
            <w:webHidden/>
          </w:rPr>
          <w:fldChar w:fldCharType="begin"/>
        </w:r>
        <w:r w:rsidR="008F3521">
          <w:rPr>
            <w:noProof/>
            <w:webHidden/>
          </w:rPr>
          <w:instrText xml:space="preserve"> PAGEREF _Toc101346937 \h </w:instrText>
        </w:r>
        <w:r w:rsidR="008F3521">
          <w:rPr>
            <w:noProof/>
            <w:webHidden/>
          </w:rPr>
        </w:r>
        <w:r w:rsidR="008F3521">
          <w:rPr>
            <w:noProof/>
            <w:webHidden/>
          </w:rPr>
          <w:fldChar w:fldCharType="separate"/>
        </w:r>
        <w:r w:rsidR="000063F6">
          <w:rPr>
            <w:noProof/>
            <w:webHidden/>
          </w:rPr>
          <w:t>6</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38" w:history="1">
        <w:r w:rsidR="008F3521" w:rsidRPr="00671046">
          <w:rPr>
            <w:rStyle w:val="Hyperlink"/>
            <w:noProof/>
          </w:rPr>
          <w:t>Academic Registrar’s Representative</w:t>
        </w:r>
        <w:r w:rsidR="008F3521">
          <w:rPr>
            <w:noProof/>
            <w:webHidden/>
          </w:rPr>
          <w:tab/>
        </w:r>
        <w:r w:rsidR="008F3521">
          <w:rPr>
            <w:noProof/>
            <w:webHidden/>
          </w:rPr>
          <w:fldChar w:fldCharType="begin"/>
        </w:r>
        <w:r w:rsidR="008F3521">
          <w:rPr>
            <w:noProof/>
            <w:webHidden/>
          </w:rPr>
          <w:instrText xml:space="preserve"> PAGEREF _Toc101346938 \h </w:instrText>
        </w:r>
        <w:r w:rsidR="008F3521">
          <w:rPr>
            <w:noProof/>
            <w:webHidden/>
          </w:rPr>
        </w:r>
        <w:r w:rsidR="008F3521">
          <w:rPr>
            <w:noProof/>
            <w:webHidden/>
          </w:rPr>
          <w:fldChar w:fldCharType="separate"/>
        </w:r>
        <w:r w:rsidR="000063F6">
          <w:rPr>
            <w:noProof/>
            <w:webHidden/>
          </w:rPr>
          <w:t>6</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39" w:history="1">
        <w:r w:rsidR="008F3521" w:rsidRPr="00671046">
          <w:rPr>
            <w:rStyle w:val="Hyperlink"/>
            <w:noProof/>
          </w:rPr>
          <w:t>Documentation for Panels and Boards of Examiners</w:t>
        </w:r>
        <w:r w:rsidR="008F3521">
          <w:rPr>
            <w:noProof/>
            <w:webHidden/>
          </w:rPr>
          <w:tab/>
        </w:r>
        <w:r w:rsidR="008F3521">
          <w:rPr>
            <w:noProof/>
            <w:webHidden/>
          </w:rPr>
          <w:fldChar w:fldCharType="begin"/>
        </w:r>
        <w:r w:rsidR="008F3521">
          <w:rPr>
            <w:noProof/>
            <w:webHidden/>
          </w:rPr>
          <w:instrText xml:space="preserve"> PAGEREF _Toc101346939 \h </w:instrText>
        </w:r>
        <w:r w:rsidR="008F3521">
          <w:rPr>
            <w:noProof/>
            <w:webHidden/>
          </w:rPr>
        </w:r>
        <w:r w:rsidR="008F3521">
          <w:rPr>
            <w:noProof/>
            <w:webHidden/>
          </w:rPr>
          <w:fldChar w:fldCharType="separate"/>
        </w:r>
        <w:r w:rsidR="000063F6">
          <w:rPr>
            <w:noProof/>
            <w:webHidden/>
          </w:rPr>
          <w:t>7</w:t>
        </w:r>
        <w:r w:rsidR="008F3521">
          <w:rPr>
            <w:noProof/>
            <w:webHidden/>
          </w:rPr>
          <w:fldChar w:fldCharType="end"/>
        </w:r>
      </w:hyperlink>
    </w:p>
    <w:p w:rsidR="008F3521" w:rsidRDefault="000805C8">
      <w:pPr>
        <w:pStyle w:val="TOC1"/>
        <w:tabs>
          <w:tab w:val="right" w:leader="dot" w:pos="9016"/>
        </w:tabs>
        <w:rPr>
          <w:rFonts w:eastAsiaTheme="minorEastAsia"/>
          <w:noProof/>
          <w:lang w:eastAsia="en-GB"/>
        </w:rPr>
      </w:pPr>
      <w:hyperlink w:anchor="_Toc101346940" w:history="1">
        <w:r w:rsidR="008F3521" w:rsidRPr="00671046">
          <w:rPr>
            <w:rStyle w:val="Hyperlink"/>
            <w:noProof/>
          </w:rPr>
          <w:t>SECTION 2 ROLE AND RESPONSIBILITIES OF EXTERNAL EXAMINERS</w:t>
        </w:r>
        <w:r w:rsidR="008F3521">
          <w:rPr>
            <w:noProof/>
            <w:webHidden/>
          </w:rPr>
          <w:tab/>
        </w:r>
        <w:r w:rsidR="008F3521">
          <w:rPr>
            <w:noProof/>
            <w:webHidden/>
          </w:rPr>
          <w:fldChar w:fldCharType="begin"/>
        </w:r>
        <w:r w:rsidR="008F3521">
          <w:rPr>
            <w:noProof/>
            <w:webHidden/>
          </w:rPr>
          <w:instrText xml:space="preserve"> PAGEREF _Toc101346940 \h </w:instrText>
        </w:r>
        <w:r w:rsidR="008F3521">
          <w:rPr>
            <w:noProof/>
            <w:webHidden/>
          </w:rPr>
        </w:r>
        <w:r w:rsidR="008F3521">
          <w:rPr>
            <w:noProof/>
            <w:webHidden/>
          </w:rPr>
          <w:fldChar w:fldCharType="separate"/>
        </w:r>
        <w:r w:rsidR="000063F6">
          <w:rPr>
            <w:noProof/>
            <w:webHidden/>
          </w:rPr>
          <w:t>8</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1" w:history="1">
        <w:r w:rsidR="008F3521" w:rsidRPr="00671046">
          <w:rPr>
            <w:rStyle w:val="Hyperlink"/>
            <w:noProof/>
          </w:rPr>
          <w:t>External examining</w:t>
        </w:r>
        <w:r w:rsidR="008F3521">
          <w:rPr>
            <w:noProof/>
            <w:webHidden/>
          </w:rPr>
          <w:tab/>
        </w:r>
        <w:r w:rsidR="008F3521">
          <w:rPr>
            <w:noProof/>
            <w:webHidden/>
          </w:rPr>
          <w:fldChar w:fldCharType="begin"/>
        </w:r>
        <w:r w:rsidR="008F3521">
          <w:rPr>
            <w:noProof/>
            <w:webHidden/>
          </w:rPr>
          <w:instrText xml:space="preserve"> PAGEREF _Toc101346941 \h </w:instrText>
        </w:r>
        <w:r w:rsidR="008F3521">
          <w:rPr>
            <w:noProof/>
            <w:webHidden/>
          </w:rPr>
        </w:r>
        <w:r w:rsidR="008F3521">
          <w:rPr>
            <w:noProof/>
            <w:webHidden/>
          </w:rPr>
          <w:fldChar w:fldCharType="separate"/>
        </w:r>
        <w:r w:rsidR="000063F6">
          <w:rPr>
            <w:noProof/>
            <w:webHidden/>
          </w:rPr>
          <w:t>8</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2" w:history="1">
        <w:r w:rsidR="008F3521" w:rsidRPr="00671046">
          <w:rPr>
            <w:rStyle w:val="Hyperlink"/>
            <w:noProof/>
          </w:rPr>
          <w:t>Role and responsibilities</w:t>
        </w:r>
        <w:r w:rsidR="008F3521">
          <w:rPr>
            <w:noProof/>
            <w:webHidden/>
          </w:rPr>
          <w:tab/>
        </w:r>
        <w:r w:rsidR="008F3521">
          <w:rPr>
            <w:noProof/>
            <w:webHidden/>
          </w:rPr>
          <w:fldChar w:fldCharType="begin"/>
        </w:r>
        <w:r w:rsidR="008F3521">
          <w:rPr>
            <w:noProof/>
            <w:webHidden/>
          </w:rPr>
          <w:instrText xml:space="preserve"> PAGEREF _Toc101346942 \h </w:instrText>
        </w:r>
        <w:r w:rsidR="008F3521">
          <w:rPr>
            <w:noProof/>
            <w:webHidden/>
          </w:rPr>
        </w:r>
        <w:r w:rsidR="008F3521">
          <w:rPr>
            <w:noProof/>
            <w:webHidden/>
          </w:rPr>
          <w:fldChar w:fldCharType="separate"/>
        </w:r>
        <w:r w:rsidR="000063F6">
          <w:rPr>
            <w:noProof/>
            <w:webHidden/>
          </w:rPr>
          <w:t>8</w:t>
        </w:r>
        <w:r w:rsidR="008F3521">
          <w:rPr>
            <w:noProof/>
            <w:webHidden/>
          </w:rPr>
          <w:fldChar w:fldCharType="end"/>
        </w:r>
      </w:hyperlink>
    </w:p>
    <w:p w:rsidR="008F3521" w:rsidRDefault="000805C8">
      <w:pPr>
        <w:pStyle w:val="TOC1"/>
        <w:tabs>
          <w:tab w:val="right" w:leader="dot" w:pos="9016"/>
        </w:tabs>
        <w:rPr>
          <w:rFonts w:eastAsiaTheme="minorEastAsia"/>
          <w:noProof/>
          <w:lang w:eastAsia="en-GB"/>
        </w:rPr>
      </w:pPr>
      <w:hyperlink w:anchor="_Toc101346943" w:history="1">
        <w:r w:rsidR="008F3521" w:rsidRPr="00671046">
          <w:rPr>
            <w:rStyle w:val="Hyperlink"/>
            <w:noProof/>
          </w:rPr>
          <w:t>SECTION 3 REPORTING AND PAYMENT</w:t>
        </w:r>
        <w:r w:rsidR="008F3521">
          <w:rPr>
            <w:noProof/>
            <w:webHidden/>
          </w:rPr>
          <w:tab/>
        </w:r>
        <w:r w:rsidR="008F3521">
          <w:rPr>
            <w:noProof/>
            <w:webHidden/>
          </w:rPr>
          <w:fldChar w:fldCharType="begin"/>
        </w:r>
        <w:r w:rsidR="008F3521">
          <w:rPr>
            <w:noProof/>
            <w:webHidden/>
          </w:rPr>
          <w:instrText xml:space="preserve"> PAGEREF _Toc101346943 \h </w:instrText>
        </w:r>
        <w:r w:rsidR="008F3521">
          <w:rPr>
            <w:noProof/>
            <w:webHidden/>
          </w:rPr>
        </w:r>
        <w:r w:rsidR="008F3521">
          <w:rPr>
            <w:noProof/>
            <w:webHidden/>
          </w:rPr>
          <w:fldChar w:fldCharType="separate"/>
        </w:r>
        <w:r w:rsidR="000063F6">
          <w:rPr>
            <w:noProof/>
            <w:webHidden/>
          </w:rPr>
          <w:t>10</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4" w:history="1">
        <w:r w:rsidR="008F3521" w:rsidRPr="00671046">
          <w:rPr>
            <w:rStyle w:val="Hyperlink"/>
            <w:noProof/>
          </w:rPr>
          <w:t>Submission of Annual Reports</w:t>
        </w:r>
        <w:r w:rsidR="008F3521">
          <w:rPr>
            <w:noProof/>
            <w:webHidden/>
          </w:rPr>
          <w:tab/>
        </w:r>
        <w:r w:rsidR="008F3521">
          <w:rPr>
            <w:noProof/>
            <w:webHidden/>
          </w:rPr>
          <w:fldChar w:fldCharType="begin"/>
        </w:r>
        <w:r w:rsidR="008F3521">
          <w:rPr>
            <w:noProof/>
            <w:webHidden/>
          </w:rPr>
          <w:instrText xml:space="preserve"> PAGEREF _Toc101346944 \h </w:instrText>
        </w:r>
        <w:r w:rsidR="008F3521">
          <w:rPr>
            <w:noProof/>
            <w:webHidden/>
          </w:rPr>
        </w:r>
        <w:r w:rsidR="008F3521">
          <w:rPr>
            <w:noProof/>
            <w:webHidden/>
          </w:rPr>
          <w:fldChar w:fldCharType="separate"/>
        </w:r>
        <w:r w:rsidR="000063F6">
          <w:rPr>
            <w:noProof/>
            <w:webHidden/>
          </w:rPr>
          <w:t>10</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5" w:history="1">
        <w:r w:rsidR="008F3521" w:rsidRPr="00671046">
          <w:rPr>
            <w:rStyle w:val="Hyperlink"/>
            <w:noProof/>
          </w:rPr>
          <w:t>Consideration of External Examiner Reports</w:t>
        </w:r>
        <w:r w:rsidR="008F3521">
          <w:rPr>
            <w:noProof/>
            <w:webHidden/>
          </w:rPr>
          <w:tab/>
        </w:r>
        <w:r w:rsidR="008F3521">
          <w:rPr>
            <w:noProof/>
            <w:webHidden/>
          </w:rPr>
          <w:fldChar w:fldCharType="begin"/>
        </w:r>
        <w:r w:rsidR="008F3521">
          <w:rPr>
            <w:noProof/>
            <w:webHidden/>
          </w:rPr>
          <w:instrText xml:space="preserve"> PAGEREF _Toc101346945 \h </w:instrText>
        </w:r>
        <w:r w:rsidR="008F3521">
          <w:rPr>
            <w:noProof/>
            <w:webHidden/>
          </w:rPr>
        </w:r>
        <w:r w:rsidR="008F3521">
          <w:rPr>
            <w:noProof/>
            <w:webHidden/>
          </w:rPr>
          <w:fldChar w:fldCharType="separate"/>
        </w:r>
        <w:r w:rsidR="000063F6">
          <w:rPr>
            <w:noProof/>
            <w:webHidden/>
          </w:rPr>
          <w:t>10</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6" w:history="1">
        <w:r w:rsidR="008F3521" w:rsidRPr="00671046">
          <w:rPr>
            <w:rStyle w:val="Hyperlink"/>
            <w:noProof/>
          </w:rPr>
          <w:t>Payment of Fees and Expenses</w:t>
        </w:r>
        <w:r w:rsidR="008F3521">
          <w:rPr>
            <w:noProof/>
            <w:webHidden/>
          </w:rPr>
          <w:tab/>
        </w:r>
        <w:r w:rsidR="008F3521">
          <w:rPr>
            <w:noProof/>
            <w:webHidden/>
          </w:rPr>
          <w:fldChar w:fldCharType="begin"/>
        </w:r>
        <w:r w:rsidR="008F3521">
          <w:rPr>
            <w:noProof/>
            <w:webHidden/>
          </w:rPr>
          <w:instrText xml:space="preserve"> PAGEREF _Toc101346946 \h </w:instrText>
        </w:r>
        <w:r w:rsidR="008F3521">
          <w:rPr>
            <w:noProof/>
            <w:webHidden/>
          </w:rPr>
        </w:r>
        <w:r w:rsidR="008F3521">
          <w:rPr>
            <w:noProof/>
            <w:webHidden/>
          </w:rPr>
          <w:fldChar w:fldCharType="separate"/>
        </w:r>
        <w:r w:rsidR="000063F6">
          <w:rPr>
            <w:noProof/>
            <w:webHidden/>
          </w:rPr>
          <w:t>11</w:t>
        </w:r>
        <w:r w:rsidR="008F3521">
          <w:rPr>
            <w:noProof/>
            <w:webHidden/>
          </w:rPr>
          <w:fldChar w:fldCharType="end"/>
        </w:r>
      </w:hyperlink>
    </w:p>
    <w:p w:rsidR="008F3521" w:rsidRDefault="000805C8">
      <w:pPr>
        <w:pStyle w:val="TOC1"/>
        <w:tabs>
          <w:tab w:val="right" w:leader="dot" w:pos="9016"/>
        </w:tabs>
        <w:rPr>
          <w:rFonts w:eastAsiaTheme="minorEastAsia"/>
          <w:noProof/>
          <w:lang w:eastAsia="en-GB"/>
        </w:rPr>
      </w:pPr>
      <w:hyperlink w:anchor="_Toc101346947" w:history="1">
        <w:r w:rsidR="008F3521" w:rsidRPr="00671046">
          <w:rPr>
            <w:rStyle w:val="Hyperlink"/>
            <w:noProof/>
          </w:rPr>
          <w:t>SECTION 4 CONTACT DETAILS AND WEB ADDRESSES</w:t>
        </w:r>
        <w:r w:rsidR="008F3521">
          <w:rPr>
            <w:noProof/>
            <w:webHidden/>
          </w:rPr>
          <w:tab/>
        </w:r>
        <w:r w:rsidR="008F3521">
          <w:rPr>
            <w:noProof/>
            <w:webHidden/>
          </w:rPr>
          <w:fldChar w:fldCharType="begin"/>
        </w:r>
        <w:r w:rsidR="008F3521">
          <w:rPr>
            <w:noProof/>
            <w:webHidden/>
          </w:rPr>
          <w:instrText xml:space="preserve"> PAGEREF _Toc101346947 \h </w:instrText>
        </w:r>
        <w:r w:rsidR="008F3521">
          <w:rPr>
            <w:noProof/>
            <w:webHidden/>
          </w:rPr>
        </w:r>
        <w:r w:rsidR="008F3521">
          <w:rPr>
            <w:noProof/>
            <w:webHidden/>
          </w:rPr>
          <w:fldChar w:fldCharType="separate"/>
        </w:r>
        <w:r w:rsidR="000063F6">
          <w:rPr>
            <w:noProof/>
            <w:webHidden/>
          </w:rPr>
          <w:t>12</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8" w:history="1">
        <w:r w:rsidR="008F3521" w:rsidRPr="00671046">
          <w:rPr>
            <w:rStyle w:val="Hyperlink"/>
            <w:noProof/>
          </w:rPr>
          <w:t>Contacts</w:t>
        </w:r>
        <w:r w:rsidR="008F3521">
          <w:rPr>
            <w:noProof/>
            <w:webHidden/>
          </w:rPr>
          <w:tab/>
        </w:r>
        <w:r w:rsidR="008F3521">
          <w:rPr>
            <w:noProof/>
            <w:webHidden/>
          </w:rPr>
          <w:fldChar w:fldCharType="begin"/>
        </w:r>
        <w:r w:rsidR="008F3521">
          <w:rPr>
            <w:noProof/>
            <w:webHidden/>
          </w:rPr>
          <w:instrText xml:space="preserve"> PAGEREF _Toc101346948 \h </w:instrText>
        </w:r>
        <w:r w:rsidR="008F3521">
          <w:rPr>
            <w:noProof/>
            <w:webHidden/>
          </w:rPr>
        </w:r>
        <w:r w:rsidR="008F3521">
          <w:rPr>
            <w:noProof/>
            <w:webHidden/>
          </w:rPr>
          <w:fldChar w:fldCharType="separate"/>
        </w:r>
        <w:r w:rsidR="000063F6">
          <w:rPr>
            <w:noProof/>
            <w:webHidden/>
          </w:rPr>
          <w:t>12</w:t>
        </w:r>
        <w:r w:rsidR="008F3521">
          <w:rPr>
            <w:noProof/>
            <w:webHidden/>
          </w:rPr>
          <w:fldChar w:fldCharType="end"/>
        </w:r>
      </w:hyperlink>
    </w:p>
    <w:p w:rsidR="008F3521" w:rsidRDefault="000805C8">
      <w:pPr>
        <w:pStyle w:val="TOC2"/>
        <w:tabs>
          <w:tab w:val="right" w:leader="dot" w:pos="9016"/>
        </w:tabs>
        <w:rPr>
          <w:rFonts w:eastAsiaTheme="minorEastAsia"/>
          <w:noProof/>
          <w:lang w:eastAsia="en-GB"/>
        </w:rPr>
      </w:pPr>
      <w:hyperlink w:anchor="_Toc101346949" w:history="1">
        <w:r w:rsidR="008F3521" w:rsidRPr="00671046">
          <w:rPr>
            <w:rStyle w:val="Hyperlink"/>
            <w:noProof/>
          </w:rPr>
          <w:t>Web Addresses</w:t>
        </w:r>
        <w:r w:rsidR="008F3521">
          <w:rPr>
            <w:noProof/>
            <w:webHidden/>
          </w:rPr>
          <w:tab/>
        </w:r>
        <w:r w:rsidR="008F3521">
          <w:rPr>
            <w:noProof/>
            <w:webHidden/>
          </w:rPr>
          <w:fldChar w:fldCharType="begin"/>
        </w:r>
        <w:r w:rsidR="008F3521">
          <w:rPr>
            <w:noProof/>
            <w:webHidden/>
          </w:rPr>
          <w:instrText xml:space="preserve"> PAGEREF _Toc101346949 \h </w:instrText>
        </w:r>
        <w:r w:rsidR="008F3521">
          <w:rPr>
            <w:noProof/>
            <w:webHidden/>
          </w:rPr>
        </w:r>
        <w:r w:rsidR="008F3521">
          <w:rPr>
            <w:noProof/>
            <w:webHidden/>
          </w:rPr>
          <w:fldChar w:fldCharType="separate"/>
        </w:r>
        <w:r w:rsidR="000063F6">
          <w:rPr>
            <w:noProof/>
            <w:webHidden/>
          </w:rPr>
          <w:t>12</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50" w:history="1">
        <w:r w:rsidR="008F3521" w:rsidRPr="00671046">
          <w:rPr>
            <w:rStyle w:val="Hyperlink"/>
            <w:noProof/>
          </w:rPr>
          <w:t>University:</w:t>
        </w:r>
        <w:r w:rsidR="008F3521">
          <w:rPr>
            <w:noProof/>
            <w:webHidden/>
          </w:rPr>
          <w:tab/>
        </w:r>
        <w:r w:rsidR="008F3521">
          <w:rPr>
            <w:noProof/>
            <w:webHidden/>
          </w:rPr>
          <w:fldChar w:fldCharType="begin"/>
        </w:r>
        <w:r w:rsidR="008F3521">
          <w:rPr>
            <w:noProof/>
            <w:webHidden/>
          </w:rPr>
          <w:instrText xml:space="preserve"> PAGEREF _Toc101346950 \h </w:instrText>
        </w:r>
        <w:r w:rsidR="008F3521">
          <w:rPr>
            <w:noProof/>
            <w:webHidden/>
          </w:rPr>
        </w:r>
        <w:r w:rsidR="008F3521">
          <w:rPr>
            <w:noProof/>
            <w:webHidden/>
          </w:rPr>
          <w:fldChar w:fldCharType="separate"/>
        </w:r>
        <w:r w:rsidR="000063F6">
          <w:rPr>
            <w:noProof/>
            <w:webHidden/>
          </w:rPr>
          <w:t>12</w:t>
        </w:r>
        <w:r w:rsidR="008F3521">
          <w:rPr>
            <w:noProof/>
            <w:webHidden/>
          </w:rPr>
          <w:fldChar w:fldCharType="end"/>
        </w:r>
      </w:hyperlink>
    </w:p>
    <w:p w:rsidR="008F3521" w:rsidRDefault="000805C8">
      <w:pPr>
        <w:pStyle w:val="TOC3"/>
        <w:tabs>
          <w:tab w:val="right" w:leader="dot" w:pos="9016"/>
        </w:tabs>
        <w:rPr>
          <w:rFonts w:eastAsiaTheme="minorEastAsia"/>
          <w:noProof/>
          <w:lang w:eastAsia="en-GB"/>
        </w:rPr>
      </w:pPr>
      <w:hyperlink w:anchor="_Toc101346951" w:history="1">
        <w:r w:rsidR="008F3521" w:rsidRPr="00671046">
          <w:rPr>
            <w:rStyle w:val="Hyperlink"/>
            <w:noProof/>
          </w:rPr>
          <w:t>Other Useful Web Addresses:</w:t>
        </w:r>
        <w:r w:rsidR="008F3521">
          <w:rPr>
            <w:noProof/>
            <w:webHidden/>
          </w:rPr>
          <w:tab/>
        </w:r>
        <w:r w:rsidR="008F3521">
          <w:rPr>
            <w:noProof/>
            <w:webHidden/>
          </w:rPr>
          <w:fldChar w:fldCharType="begin"/>
        </w:r>
        <w:r w:rsidR="008F3521">
          <w:rPr>
            <w:noProof/>
            <w:webHidden/>
          </w:rPr>
          <w:instrText xml:space="preserve"> PAGEREF _Toc101346951 \h </w:instrText>
        </w:r>
        <w:r w:rsidR="008F3521">
          <w:rPr>
            <w:noProof/>
            <w:webHidden/>
          </w:rPr>
        </w:r>
        <w:r w:rsidR="008F3521">
          <w:rPr>
            <w:noProof/>
            <w:webHidden/>
          </w:rPr>
          <w:fldChar w:fldCharType="separate"/>
        </w:r>
        <w:r w:rsidR="000063F6">
          <w:rPr>
            <w:noProof/>
            <w:webHidden/>
          </w:rPr>
          <w:t>12</w:t>
        </w:r>
        <w:r w:rsidR="008F3521">
          <w:rPr>
            <w:noProof/>
            <w:webHidden/>
          </w:rPr>
          <w:fldChar w:fldCharType="end"/>
        </w:r>
      </w:hyperlink>
    </w:p>
    <w:p w:rsidR="008F3521" w:rsidRDefault="000805C8">
      <w:pPr>
        <w:pStyle w:val="TOC1"/>
        <w:tabs>
          <w:tab w:val="right" w:leader="dot" w:pos="9016"/>
        </w:tabs>
        <w:rPr>
          <w:rFonts w:eastAsiaTheme="minorEastAsia"/>
          <w:noProof/>
          <w:lang w:eastAsia="en-GB"/>
        </w:rPr>
      </w:pPr>
      <w:hyperlink w:anchor="_Toc101346952" w:history="1">
        <w:r w:rsidR="008F3521" w:rsidRPr="00671046">
          <w:rPr>
            <w:rStyle w:val="Hyperlink"/>
            <w:noProof/>
          </w:rPr>
          <w:t>SECTION 5 SENATE REGULATIONS</w:t>
        </w:r>
        <w:r w:rsidR="008F3521">
          <w:rPr>
            <w:noProof/>
            <w:webHidden/>
          </w:rPr>
          <w:tab/>
        </w:r>
        <w:r w:rsidR="008F3521">
          <w:rPr>
            <w:noProof/>
            <w:webHidden/>
          </w:rPr>
          <w:fldChar w:fldCharType="begin"/>
        </w:r>
        <w:r w:rsidR="008F3521">
          <w:rPr>
            <w:noProof/>
            <w:webHidden/>
          </w:rPr>
          <w:instrText xml:space="preserve"> PAGEREF _Toc101346952 \h </w:instrText>
        </w:r>
        <w:r w:rsidR="008F3521">
          <w:rPr>
            <w:noProof/>
            <w:webHidden/>
          </w:rPr>
        </w:r>
        <w:r w:rsidR="008F3521">
          <w:rPr>
            <w:noProof/>
            <w:webHidden/>
          </w:rPr>
          <w:fldChar w:fldCharType="separate"/>
        </w:r>
        <w:r w:rsidR="000063F6">
          <w:rPr>
            <w:noProof/>
            <w:webHidden/>
          </w:rPr>
          <w:t>13</w:t>
        </w:r>
        <w:r w:rsidR="008F3521">
          <w:rPr>
            <w:noProof/>
            <w:webHidden/>
          </w:rPr>
          <w:fldChar w:fldCharType="end"/>
        </w:r>
      </w:hyperlink>
    </w:p>
    <w:p w:rsidR="0050504C" w:rsidRPr="00AD76E5" w:rsidRDefault="00E35513" w:rsidP="00E35513">
      <w:pPr>
        <w:spacing w:after="0"/>
        <w:ind w:left="426"/>
        <w:rPr>
          <w:rFonts w:cstheme="minorHAnsi"/>
          <w:szCs w:val="24"/>
        </w:rPr>
      </w:pPr>
      <w:r>
        <w:rPr>
          <w:rFonts w:cstheme="minorHAnsi"/>
          <w:b/>
          <w:sz w:val="44"/>
          <w:szCs w:val="28"/>
        </w:rPr>
        <w:fldChar w:fldCharType="end"/>
      </w:r>
      <w:r w:rsidR="004E276B" w:rsidRPr="00AD76E5">
        <w:rPr>
          <w:rFonts w:cstheme="minorHAnsi"/>
          <w:szCs w:val="24"/>
        </w:rPr>
        <w:t>Regulations</w:t>
      </w:r>
      <w:r w:rsidR="0050504C" w:rsidRPr="00AD76E5">
        <w:rPr>
          <w:rFonts w:cstheme="minorHAnsi"/>
          <w:szCs w:val="24"/>
        </w:rPr>
        <w:t xml:space="preserve"> governing un</w:t>
      </w:r>
      <w:r w:rsidR="004E276B" w:rsidRPr="00AD76E5">
        <w:rPr>
          <w:rFonts w:cstheme="minorHAnsi"/>
          <w:szCs w:val="24"/>
        </w:rPr>
        <w:t>dergraduate programmes of study (Senate Regulation 5)</w:t>
      </w:r>
    </w:p>
    <w:p w:rsidR="0050504C" w:rsidRPr="00AD76E5" w:rsidRDefault="0050504C" w:rsidP="00E35513">
      <w:pPr>
        <w:spacing w:after="0"/>
        <w:ind w:left="426"/>
        <w:rPr>
          <w:rFonts w:cstheme="minorHAnsi"/>
          <w:szCs w:val="24"/>
        </w:rPr>
      </w:pPr>
      <w:r w:rsidRPr="00AD76E5">
        <w:rPr>
          <w:rFonts w:cstheme="minorHAnsi"/>
          <w:szCs w:val="24"/>
        </w:rPr>
        <w:t>Regulations governing postgraduate programmes of study</w:t>
      </w:r>
      <w:r w:rsidR="004E276B" w:rsidRPr="00AD76E5">
        <w:rPr>
          <w:rFonts w:cstheme="minorHAnsi"/>
          <w:szCs w:val="24"/>
        </w:rPr>
        <w:t xml:space="preserve"> (Senate Regulation 6)</w:t>
      </w:r>
    </w:p>
    <w:p w:rsidR="0050504C" w:rsidRPr="00AD76E5" w:rsidRDefault="0050504C" w:rsidP="00E35513">
      <w:pPr>
        <w:spacing w:after="0"/>
        <w:ind w:left="426"/>
        <w:rPr>
          <w:rFonts w:cstheme="minorHAnsi"/>
          <w:szCs w:val="24"/>
        </w:rPr>
      </w:pPr>
      <w:r w:rsidRPr="00AD76E5">
        <w:rPr>
          <w:rFonts w:cstheme="minorHAnsi"/>
          <w:szCs w:val="24"/>
        </w:rPr>
        <w:t>Regulations governing the assessment of taught programmes</w:t>
      </w:r>
      <w:r w:rsidR="004E276B" w:rsidRPr="00AD76E5">
        <w:rPr>
          <w:rFonts w:cstheme="minorHAnsi"/>
          <w:szCs w:val="24"/>
        </w:rPr>
        <w:t xml:space="preserve"> (Senate Regulation 7)</w:t>
      </w:r>
    </w:p>
    <w:p w:rsidR="0050504C" w:rsidRPr="00AD76E5" w:rsidRDefault="0050504C" w:rsidP="00D430CF">
      <w:pPr>
        <w:spacing w:after="120"/>
        <w:ind w:left="426"/>
        <w:rPr>
          <w:rFonts w:cstheme="minorHAnsi"/>
          <w:szCs w:val="24"/>
        </w:rPr>
      </w:pPr>
      <w:r w:rsidRPr="00AD76E5">
        <w:rPr>
          <w:rFonts w:cstheme="minorHAnsi"/>
          <w:szCs w:val="24"/>
        </w:rPr>
        <w:t xml:space="preserve">Extract from Regulations governing </w:t>
      </w:r>
      <w:r w:rsidR="00136256" w:rsidRPr="00AD76E5">
        <w:rPr>
          <w:rFonts w:cstheme="minorHAnsi"/>
          <w:szCs w:val="24"/>
        </w:rPr>
        <w:t>s</w:t>
      </w:r>
      <w:r w:rsidRPr="00AD76E5">
        <w:rPr>
          <w:rFonts w:cstheme="minorHAnsi"/>
          <w:szCs w:val="24"/>
        </w:rPr>
        <w:t xml:space="preserve">tudent </w:t>
      </w:r>
      <w:r w:rsidR="00136256" w:rsidRPr="00AD76E5">
        <w:rPr>
          <w:rFonts w:cstheme="minorHAnsi"/>
          <w:szCs w:val="24"/>
        </w:rPr>
        <w:t>d</w:t>
      </w:r>
      <w:r w:rsidRPr="00AD76E5">
        <w:rPr>
          <w:rFonts w:cstheme="minorHAnsi"/>
          <w:szCs w:val="24"/>
        </w:rPr>
        <w:t>iscipline</w:t>
      </w:r>
      <w:r w:rsidR="004E276B" w:rsidRPr="00AD76E5">
        <w:rPr>
          <w:rFonts w:cstheme="minorHAnsi"/>
          <w:szCs w:val="24"/>
        </w:rPr>
        <w:t xml:space="preserve"> (Senate Regulation 11)</w:t>
      </w:r>
    </w:p>
    <w:p w:rsidR="0050504C" w:rsidRPr="004E276B" w:rsidRDefault="0050504C" w:rsidP="0050504C">
      <w:pPr>
        <w:spacing w:after="0"/>
        <w:rPr>
          <w:rFonts w:cstheme="minorHAnsi"/>
          <w:szCs w:val="24"/>
        </w:rPr>
      </w:pPr>
      <w:r w:rsidRPr="004E276B">
        <w:rPr>
          <w:rFonts w:cstheme="minorHAnsi"/>
          <w:b/>
          <w:szCs w:val="24"/>
        </w:rPr>
        <w:t>Appendix 1:</w:t>
      </w:r>
      <w:r w:rsidR="000538FB">
        <w:rPr>
          <w:rFonts w:cstheme="minorHAnsi"/>
          <w:szCs w:val="24"/>
        </w:rPr>
        <w:t xml:space="preserve"> Discovery-Led and Discovery Enabling Learning </w:t>
      </w:r>
      <w:r w:rsidRPr="004E276B">
        <w:rPr>
          <w:rFonts w:cstheme="minorHAnsi"/>
          <w:szCs w:val="24"/>
        </w:rPr>
        <w:t>Strategy</w:t>
      </w:r>
    </w:p>
    <w:p w:rsidR="00157561" w:rsidRPr="004E276B" w:rsidRDefault="0050504C" w:rsidP="0050504C">
      <w:pPr>
        <w:spacing w:after="0"/>
        <w:rPr>
          <w:rFonts w:cstheme="minorHAnsi"/>
          <w:szCs w:val="24"/>
        </w:rPr>
      </w:pPr>
      <w:r w:rsidRPr="004E276B">
        <w:rPr>
          <w:rFonts w:cstheme="minorHAnsi"/>
          <w:b/>
          <w:szCs w:val="24"/>
        </w:rPr>
        <w:t>Appendix 2:</w:t>
      </w:r>
      <w:r w:rsidRPr="004E276B">
        <w:rPr>
          <w:rFonts w:cstheme="minorHAnsi"/>
          <w:szCs w:val="24"/>
        </w:rPr>
        <w:t xml:space="preserve"> External Examiner Report Form</w:t>
      </w:r>
    </w:p>
    <w:p w:rsidR="00C65702" w:rsidRDefault="00C65702" w:rsidP="00136256">
      <w:pPr>
        <w:spacing w:after="0"/>
        <w:rPr>
          <w:rFonts w:cstheme="minorHAnsi"/>
          <w:b/>
          <w:sz w:val="28"/>
          <w:szCs w:val="28"/>
        </w:rPr>
      </w:pPr>
    </w:p>
    <w:p w:rsidR="008F3521" w:rsidRDefault="008F3521">
      <w:pPr>
        <w:rPr>
          <w:rFonts w:cstheme="minorHAnsi"/>
          <w:b/>
          <w:sz w:val="28"/>
          <w:szCs w:val="28"/>
        </w:rPr>
      </w:pPr>
      <w:r>
        <w:br w:type="page"/>
      </w:r>
    </w:p>
    <w:p w:rsidR="008F3521" w:rsidRDefault="008F3521" w:rsidP="008F3521">
      <w:pPr>
        <w:pStyle w:val="Heading1"/>
      </w:pPr>
      <w:bookmarkStart w:id="0" w:name="_Toc101346928"/>
      <w:r>
        <w:lastRenderedPageBreak/>
        <w:t>INTRODUCTION</w:t>
      </w:r>
      <w:bookmarkEnd w:id="0"/>
    </w:p>
    <w:p w:rsidR="008F3521" w:rsidRDefault="008F3521" w:rsidP="00C336A6">
      <w:pPr>
        <w:pStyle w:val="body"/>
      </w:pPr>
    </w:p>
    <w:p w:rsidR="00C336A6" w:rsidRPr="00D37ED1" w:rsidRDefault="00C336A6" w:rsidP="00C336A6">
      <w:pPr>
        <w:pStyle w:val="body"/>
      </w:pPr>
      <w:r w:rsidRPr="00D37ED1">
        <w:t>This handbook provides information for external exa</w:t>
      </w:r>
      <w:r>
        <w:t xml:space="preserve">miners </w:t>
      </w:r>
      <w:r w:rsidRPr="00D37ED1">
        <w:t xml:space="preserve">for all taught programmes at the University of Leicester and has been produced to assist you in your role as external examiner for the University. It contains information about our regulations and procedures, duties of external examiners and how the University will consider your reports. It supplements other documentation </w:t>
      </w:r>
      <w:r>
        <w:t xml:space="preserve">which is specific to the programmes for which you are external examiner.  The relevant </w:t>
      </w:r>
      <w:r w:rsidR="003A5ECC">
        <w:t xml:space="preserve">    </w:t>
      </w:r>
      <w:r>
        <w:t xml:space="preserve">School will send this to you.  </w:t>
      </w:r>
    </w:p>
    <w:p w:rsidR="00C336A6" w:rsidRDefault="00C336A6" w:rsidP="00C336A6">
      <w:pPr>
        <w:pStyle w:val="body"/>
      </w:pPr>
      <w:r>
        <w:t>Copies</w:t>
      </w:r>
      <w:r w:rsidR="003A5ECC">
        <w:t xml:space="preserve"> of the handbook </w:t>
      </w:r>
      <w:r>
        <w:t xml:space="preserve">can be obtained from </w:t>
      </w:r>
      <w:r w:rsidR="007757A6">
        <w:t>Education Quality, Enhancement and Development</w:t>
      </w:r>
      <w:r>
        <w:t xml:space="preserve"> or downloaded from: </w:t>
      </w:r>
      <w:hyperlink r:id="rId8" w:history="1">
        <w:r w:rsidR="00A162BB">
          <w:rPr>
            <w:rStyle w:val="Hyperlink"/>
          </w:rPr>
          <w:t>https://le.ac.uk/study/external-examining</w:t>
        </w:r>
      </w:hyperlink>
    </w:p>
    <w:p w:rsidR="00C336A6" w:rsidRPr="00602C87" w:rsidRDefault="00C336A6" w:rsidP="00C336A6">
      <w:pPr>
        <w:pStyle w:val="body"/>
      </w:pPr>
      <w:r>
        <w:t xml:space="preserve">In addition new training materials for external examiners can be found at </w:t>
      </w:r>
      <w:hyperlink r:id="rId9" w:history="1">
        <w:r w:rsidR="008337C8" w:rsidRPr="00681DFA">
          <w:rPr>
            <w:rStyle w:val="Hyperlink"/>
          </w:rPr>
          <w:t>http://www2.le.ac.uk/offices/lli/lt/quality/external-examiners/</w:t>
        </w:r>
      </w:hyperlink>
      <w:r w:rsidR="008337C8">
        <w:t xml:space="preserve"> </w:t>
      </w:r>
    </w:p>
    <w:p w:rsidR="00C336A6" w:rsidRPr="00D37ED1" w:rsidRDefault="00C336A6" w:rsidP="00C336A6">
      <w:pPr>
        <w:pStyle w:val="body"/>
      </w:pPr>
      <w:r w:rsidRPr="00D37ED1">
        <w:t xml:space="preserve">All Senate regulations can be found on the University’s website at </w:t>
      </w:r>
      <w:hyperlink r:id="rId10" w:history="1">
        <w:r w:rsidR="00A162BB">
          <w:rPr>
            <w:rStyle w:val="Hyperlink"/>
          </w:rPr>
          <w:t>https://le.ac.uk/policies/regulations/senate-regulations</w:t>
        </w:r>
      </w:hyperlink>
    </w:p>
    <w:p w:rsidR="00C336A6" w:rsidRPr="00D37ED1" w:rsidRDefault="00F92E7C" w:rsidP="00C336A6">
      <w:pPr>
        <w:pStyle w:val="body"/>
      </w:pPr>
      <w:r>
        <w:t>Links to S</w:t>
      </w:r>
      <w:r w:rsidR="00C336A6" w:rsidRPr="00D37ED1">
        <w:t xml:space="preserve">enate Regulations 5, 6, 7 and 11 can be found in Section </w:t>
      </w:r>
      <w:r w:rsidR="00832CEB">
        <w:t>5</w:t>
      </w:r>
      <w:r w:rsidR="00C336A6" w:rsidRPr="00D37ED1">
        <w:t xml:space="preserve"> </w:t>
      </w:r>
      <w:r w:rsidR="00C336A6">
        <w:t>of this Handbook, as these are of particular relevance to your role as an external examiner.</w:t>
      </w:r>
      <w:r w:rsidR="00C336A6" w:rsidRPr="00D37ED1">
        <w:t xml:space="preserve"> </w:t>
      </w:r>
    </w:p>
    <w:p w:rsidR="00C336A6" w:rsidRPr="00D37ED1" w:rsidRDefault="00C336A6" w:rsidP="00C336A6">
      <w:pPr>
        <w:pStyle w:val="body"/>
      </w:pPr>
      <w:r w:rsidRPr="00D37ED1">
        <w:t xml:space="preserve">The University’s </w:t>
      </w:r>
      <w:r w:rsidR="00F92E7C">
        <w:t>Learning and Teaching</w:t>
      </w:r>
      <w:r w:rsidRPr="00D37ED1">
        <w:t xml:space="preserve"> Committee is responsible to Senate for the assurance and enhancement of academic quality and standards. It is also responsible for formulating and monitoring the University’s Learning and Teaching Strategy (Appendix 1).</w:t>
      </w:r>
    </w:p>
    <w:p w:rsidR="00C336A6" w:rsidRPr="00D37ED1" w:rsidRDefault="00C336A6" w:rsidP="00C336A6">
      <w:pPr>
        <w:pStyle w:val="body"/>
      </w:pPr>
      <w:r w:rsidRPr="00D37ED1">
        <w:t xml:space="preserve">If you have any queries about information contained in the handbook or about the University’s regulations or procedures please contact </w:t>
      </w:r>
      <w:r w:rsidR="007757A6">
        <w:t>Education Quality, Enhancement and Development</w:t>
      </w:r>
      <w:r w:rsidRPr="00D37ED1">
        <w:t xml:space="preserve">. Contact details are given in Section </w:t>
      </w:r>
      <w:r>
        <w:t>4</w:t>
      </w:r>
      <w:r w:rsidRPr="00D37ED1">
        <w:t xml:space="preserve">  </w:t>
      </w:r>
    </w:p>
    <w:p w:rsidR="00C336A6" w:rsidRPr="00D37ED1" w:rsidRDefault="00C336A6" w:rsidP="00C336A6">
      <w:pPr>
        <w:pStyle w:val="body"/>
      </w:pPr>
      <w:r w:rsidRPr="00D37ED1">
        <w:t xml:space="preserve">If your queries are about the programme or arrangements for examination boards please </w:t>
      </w:r>
      <w:r w:rsidR="00F92E7C">
        <w:t xml:space="preserve">contact the relevant </w:t>
      </w:r>
      <w:r w:rsidRPr="00D37ED1">
        <w:t>School.</w:t>
      </w:r>
    </w:p>
    <w:p w:rsidR="00C336A6" w:rsidRPr="00D37ED1" w:rsidRDefault="00C336A6" w:rsidP="00C336A6">
      <w:pPr>
        <w:spacing w:after="0"/>
        <w:rPr>
          <w:rFonts w:cstheme="minorHAnsi"/>
        </w:rPr>
      </w:pPr>
    </w:p>
    <w:p w:rsidR="00C336A6" w:rsidRPr="00D37ED1" w:rsidRDefault="007757A6" w:rsidP="00C336A6">
      <w:pPr>
        <w:spacing w:after="0"/>
        <w:rPr>
          <w:rFonts w:cstheme="minorHAnsi"/>
        </w:rPr>
      </w:pPr>
      <w:r>
        <w:rPr>
          <w:rFonts w:cstheme="minorHAnsi"/>
        </w:rPr>
        <w:t>Education Quality, Enhancement and Development</w:t>
      </w:r>
    </w:p>
    <w:p w:rsidR="00C336A6" w:rsidRDefault="007757A6" w:rsidP="00C336A6">
      <w:pPr>
        <w:spacing w:after="0"/>
        <w:rPr>
          <w:rFonts w:cstheme="minorHAnsi"/>
        </w:rPr>
        <w:sectPr w:rsidR="00C336A6" w:rsidSect="00C65702">
          <w:headerReference w:type="default" r:id="rId11"/>
          <w:footerReference w:type="default" r:id="rId12"/>
          <w:pgSz w:w="11906" w:h="16838"/>
          <w:pgMar w:top="1440" w:right="1440" w:bottom="1440" w:left="1440" w:header="708" w:footer="708" w:gutter="0"/>
          <w:cols w:space="708"/>
          <w:docGrid w:linePitch="360"/>
        </w:sectPr>
      </w:pPr>
      <w:r>
        <w:rPr>
          <w:rFonts w:cstheme="minorHAnsi"/>
        </w:rPr>
        <w:t>April 2022</w:t>
      </w:r>
    </w:p>
    <w:p w:rsidR="009C4B23" w:rsidRPr="00A378D8" w:rsidRDefault="003E5190" w:rsidP="00A378D8">
      <w:pPr>
        <w:pStyle w:val="Heading1"/>
      </w:pPr>
      <w:bookmarkStart w:id="1" w:name="_Toc101346929"/>
      <w:r w:rsidRPr="00A378D8">
        <w:lastRenderedPageBreak/>
        <w:t>SECTION 1</w:t>
      </w:r>
      <w:r w:rsidR="00A378D8" w:rsidRPr="00A378D8">
        <w:br/>
      </w:r>
      <w:r w:rsidR="00B26EAD" w:rsidRPr="00A378D8">
        <w:t>UNIVERSITY FRAMEWORK FOR PANELS AND BOARDS OF EXAMINERS</w:t>
      </w:r>
      <w:bookmarkEnd w:id="1"/>
    </w:p>
    <w:p w:rsidR="009C4B23" w:rsidRDefault="000805C8" w:rsidP="000805C8">
      <w:pPr>
        <w:spacing w:after="0"/>
        <w:jc w:val="center"/>
        <w:rPr>
          <w:b/>
        </w:rPr>
      </w:pPr>
      <w:r>
        <w:rPr>
          <w:b/>
          <w:noProof/>
          <w:lang w:eastAsia="en-GB"/>
        </w:rPr>
        <mc:AlternateContent>
          <mc:Choice Requires="wpg">
            <w:drawing>
              <wp:inline distT="0" distB="0" distL="0" distR="0">
                <wp:extent cx="4674927" cy="3257332"/>
                <wp:effectExtent l="57150" t="38100" r="68580" b="95885"/>
                <wp:docPr id="2" name="Group 2" descr="Illustration to demonstrate the framework for Panels and Boards of Examiners." title="University Framework for Panels and Boards of Examiners"/>
                <wp:cNvGraphicFramePr/>
                <a:graphic xmlns:a="http://schemas.openxmlformats.org/drawingml/2006/main">
                  <a:graphicData uri="http://schemas.microsoft.com/office/word/2010/wordprocessingGroup">
                    <wpg:wgp>
                      <wpg:cNvGrpSpPr/>
                      <wpg:grpSpPr>
                        <a:xfrm>
                          <a:off x="0" y="0"/>
                          <a:ext cx="4674927" cy="3257332"/>
                          <a:chOff x="0" y="0"/>
                          <a:chExt cx="4674927" cy="3257332"/>
                        </a:xfrm>
                      </wpg:grpSpPr>
                      <wps:wsp>
                        <wps:cNvPr id="3" name="Rounded Rectangle 3" descr="Senate" title="Senate"/>
                        <wps:cNvSpPr/>
                        <wps:spPr>
                          <a:xfrm>
                            <a:off x="1255594" y="0"/>
                            <a:ext cx="2094865" cy="771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0063F6" w:rsidRPr="007C294F" w:rsidRDefault="000063F6" w:rsidP="001058A4">
                              <w:pPr>
                                <w:spacing w:after="0" w:line="240" w:lineRule="auto"/>
                                <w:jc w:val="center"/>
                                <w:rPr>
                                  <w:b/>
                                  <w:sz w:val="24"/>
                                  <w:szCs w:val="24"/>
                                </w:rPr>
                              </w:pPr>
                              <w:r w:rsidRPr="007C294F">
                                <w:rPr>
                                  <w:b/>
                                  <w:sz w:val="24"/>
                                  <w:szCs w:val="24"/>
                                </w:rPr>
                                <w:t>Senate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255594" y="1241946"/>
                            <a:ext cx="2094865" cy="7429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0063F6" w:rsidRPr="007C294F" w:rsidRDefault="000063F6" w:rsidP="001058A4">
                              <w:pPr>
                                <w:spacing w:after="0" w:line="240" w:lineRule="auto"/>
                                <w:jc w:val="center"/>
                                <w:rPr>
                                  <w:b/>
                                  <w:sz w:val="24"/>
                                  <w:szCs w:val="24"/>
                                </w:rPr>
                              </w:pPr>
                              <w:r w:rsidRPr="007C294F">
                                <w:rPr>
                                  <w:b/>
                                  <w:sz w:val="24"/>
                                  <w:szCs w:val="24"/>
                                </w:rPr>
                                <w:t>Board of Examiners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2456597"/>
                            <a:ext cx="2095500" cy="7620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0063F6" w:rsidRPr="003B70C0" w:rsidRDefault="000063F6" w:rsidP="001058A4">
                              <w:pPr>
                                <w:spacing w:after="0" w:line="240" w:lineRule="auto"/>
                                <w:jc w:val="center"/>
                                <w:rPr>
                                  <w:b/>
                                  <w:sz w:val="24"/>
                                  <w:szCs w:val="24"/>
                                </w:rPr>
                              </w:pPr>
                              <w:r w:rsidRPr="003B70C0">
                                <w:rPr>
                                  <w:b/>
                                  <w:sz w:val="24"/>
                                  <w:szCs w:val="24"/>
                                </w:rPr>
                                <w:t>Mitigating Circumstances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579427" y="2456597"/>
                            <a:ext cx="2095500" cy="80073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0063F6" w:rsidRPr="007C294F" w:rsidRDefault="000063F6" w:rsidP="001058A4">
                              <w:pPr>
                                <w:spacing w:after="0" w:line="240" w:lineRule="auto"/>
                                <w:jc w:val="center"/>
                                <w:rPr>
                                  <w:b/>
                                  <w:sz w:val="24"/>
                                  <w:szCs w:val="24"/>
                                </w:rPr>
                              </w:pPr>
                              <w:r w:rsidRPr="007C294F">
                                <w:rPr>
                                  <w:b/>
                                  <w:sz w:val="24"/>
                                  <w:szCs w:val="24"/>
                                </w:rPr>
                                <w:t>Panel of Examiners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title="Feeds into"/>
                        <wps:cNvCnPr/>
                        <wps:spPr>
                          <a:xfrm>
                            <a:off x="2306471" y="764274"/>
                            <a:ext cx="0" cy="476250"/>
                          </a:xfrm>
                          <a:prstGeom prst="straightConnector1">
                            <a:avLst/>
                          </a:prstGeom>
                          <a:ln>
                            <a:solidFill>
                              <a:schemeClr val="accent1"/>
                            </a:solidFill>
                            <a:tailEnd type="arrow"/>
                          </a:ln>
                        </wps:spPr>
                        <wps:style>
                          <a:lnRef idx="2">
                            <a:schemeClr val="accent5"/>
                          </a:lnRef>
                          <a:fillRef idx="0">
                            <a:schemeClr val="accent5"/>
                          </a:fillRef>
                          <a:effectRef idx="1">
                            <a:schemeClr val="accent5"/>
                          </a:effectRef>
                          <a:fontRef idx="minor">
                            <a:schemeClr val="tx1"/>
                          </a:fontRef>
                        </wps:style>
                        <wps:bodyPr/>
                      </wps:wsp>
                      <wps:wsp>
                        <wps:cNvPr id="8" name="Straight Arrow Connector 8" descr="Boards of Examiners feeds into Mitigating Circumstances Panel" title="Feeds into"/>
                        <wps:cNvCnPr/>
                        <wps:spPr>
                          <a:xfrm flipH="1">
                            <a:off x="1392071" y="1992573"/>
                            <a:ext cx="379730" cy="447040"/>
                          </a:xfrm>
                          <a:prstGeom prst="straightConnector1">
                            <a:avLst/>
                          </a:prstGeom>
                          <a:ln>
                            <a:solidFill>
                              <a:schemeClr val="accent1"/>
                            </a:solidFill>
                            <a:tailEnd type="arrow"/>
                          </a:ln>
                        </wps:spPr>
                        <wps:style>
                          <a:lnRef idx="2">
                            <a:schemeClr val="accent5"/>
                          </a:lnRef>
                          <a:fillRef idx="0">
                            <a:schemeClr val="accent5"/>
                          </a:fillRef>
                          <a:effectRef idx="1">
                            <a:schemeClr val="accent5"/>
                          </a:effectRef>
                          <a:fontRef idx="minor">
                            <a:schemeClr val="tx1"/>
                          </a:fontRef>
                        </wps:style>
                        <wps:bodyPr/>
                      </wps:wsp>
                      <wps:wsp>
                        <wps:cNvPr id="9" name="Straight Arrow Connector 9" descr="Mitigating circumstances panel fees in to Panel of Examiners" title="Feeds into"/>
                        <wps:cNvCnPr/>
                        <wps:spPr>
                          <a:xfrm>
                            <a:off x="2101755" y="2838734"/>
                            <a:ext cx="476250" cy="0"/>
                          </a:xfrm>
                          <a:prstGeom prst="straightConnector1">
                            <a:avLst/>
                          </a:prstGeom>
                          <a:ln>
                            <a:solidFill>
                              <a:schemeClr val="accent1"/>
                            </a:solidFill>
                            <a:tailEnd type="arrow"/>
                          </a:ln>
                        </wps:spPr>
                        <wps:style>
                          <a:lnRef idx="2">
                            <a:schemeClr val="accent5"/>
                          </a:lnRef>
                          <a:fillRef idx="0">
                            <a:schemeClr val="accent5"/>
                          </a:fillRef>
                          <a:effectRef idx="1">
                            <a:schemeClr val="accent5"/>
                          </a:effectRef>
                          <a:fontRef idx="minor">
                            <a:schemeClr val="tx1"/>
                          </a:fontRef>
                        </wps:style>
                        <wps:bodyPr/>
                      </wps:wsp>
                      <wps:wsp>
                        <wps:cNvPr id="11" name="Straight Arrow Connector 11" descr="Panel of Examiners feeds into Board of Examiners" title="Feeds into"/>
                        <wps:cNvCnPr/>
                        <wps:spPr>
                          <a:xfrm flipH="1" flipV="1">
                            <a:off x="2838734" y="1992573"/>
                            <a:ext cx="513080" cy="456564"/>
                          </a:xfrm>
                          <a:prstGeom prst="straightConnector1">
                            <a:avLst/>
                          </a:prstGeom>
                          <a:ln>
                            <a:solidFill>
                              <a:schemeClr val="accent1"/>
                            </a:solidFill>
                            <a:tailEnd type="arrow"/>
                          </a:ln>
                        </wps:spPr>
                        <wps:style>
                          <a:lnRef idx="2">
                            <a:schemeClr val="accent5"/>
                          </a:lnRef>
                          <a:fillRef idx="0">
                            <a:schemeClr val="accent5"/>
                          </a:fillRef>
                          <a:effectRef idx="1">
                            <a:schemeClr val="accent5"/>
                          </a:effectRef>
                          <a:fontRef idx="minor">
                            <a:schemeClr val="tx1"/>
                          </a:fontRef>
                        </wps:style>
                        <wps:bodyPr/>
                      </wps:wsp>
                    </wpg:wgp>
                  </a:graphicData>
                </a:graphic>
              </wp:inline>
            </w:drawing>
          </mc:Choice>
          <mc:Fallback>
            <w:pict>
              <v:group id="Group 2" o:spid="_x0000_s1026" alt="Title: University Framework for Panels and Boards of Examiners - Description: Illustration to demonstrate the framework for Panels and Boards of Examiners." style="width:368.1pt;height:256.5pt;mso-position-horizontal-relative:char;mso-position-vertical-relative:line" coordsize="46749,3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jaQUAAC8eAAAOAAAAZHJzL2Uyb0RvYy54bWzsWW1v2zYQ/j5g/4HQ98V6tSwjTpG5SVcg&#10;a4OkXT8zEmULlUiNpGN7v353FKnEjjOnDlaghb/YonR80d0999ydTt+smprcM6kqwSdecOJ7hPFc&#10;FBWfTbzPny5/G3lEacoLWgvOJt6aKe/N2a+/nC7bMQvFXNQFkwQW4Wq8bCfeXOt2PBiofM4aqk5E&#10;yzg8LIVsqIahnA0KSZewelMPQt8fDpZCFq0UOVMK7r7tHnpnZv2yZLn+WJaKaVJPPDibNr/S/N7h&#10;7+DslI5nkrbzKrfHoAecoqEVh037pd5STclCVk+WaqpcCiVKfZKLZiDKssqZeQd4m8Dfept3Uixa&#10;8y6z8XLW9moC1W7p6eBl8w/315JUxcQLPcJpAyYyuxIYFkzloKr3db1QWlINJiZawO1GcHODET1n&#10;pJQwDczwlYCZyDXlrFYELE5+F1QWioiSXKxoU3HwkhMwQaVr2OUzr4zb6DW5/IYF0GDLdjaGc7+T&#10;7W17Le2NWTdCG6xK2eA/aJesjKnXvanZSpMcbsbDNM7C1CM5PIvCJI2isHOGfA4e82RePr/YM3Pg&#10;Nh7g+frjLFtwbPVgO/U6293OacuMSyjUgbVd5Gx3Ixa8YAW5AcenfFYzAo+sHW8Zp5r1BrBDoz6z&#10;Vq9MNVag1x2aDMIkSbLYI0/1GfpZPBomnT7TNEjCBNXZK4WOW6n0OyYaghcTD1ybF3hMAxt6f6V0&#10;J+/kYDLqrjuKudLrmuGpan7DSvBZMGNgZptowaa1JPcUcE7znHE9tPsbaZxWVnXdTwz3T7TyOJWZ&#10;SNJPfsGu/Qyzs+C6nwxAEHLX7sXXwB657OSdBrr3RhXo1d3KGuxOFGuwvhRdSFNtflmBYq+o0tdU&#10;QgyDaAcA0x/hp6zFcuIJe+WRuZD/7LqP8uCe8NQjS4iJE0/9vaASfKZ+z8FxsyCOMYiaQZykIQzk&#10;4yd3j5/wRTMVYI4AGKDNzSXK69pdllI0XyB8n+Ou8IjyHPaeeLmWbjDVXayGyJKz83MjBoGzpfqK&#10;37a5cwD0mU+rL1S21rs04PyDcGCh4y3/6mTRNFycL7QoK+N8qOJOr1b1AFwMN98BwQCqLvo+RXCM&#10;XoGHALx/G0aDMA6y2AABfNjGr02kxmGWGBZ8FVIRk4hePOURsGoTsIZdDbQf/OuIWxMBf3zcAuM9&#10;h1tDgC/GLcQ/YNUwToZJliLiNxCbJD4IYK6SDiHtPSIWwtX/R7EGsZELu0em/amYdvg8Yg1Tvhix&#10;UDRkMZYQL8LtyPfT6PU58ZFpTSrtco0dTGvKuCPT/nQZMgCtY9pb6EVUs7km51KKJZkKzqGMhNYD&#10;SNjmwiVj0HiouBYuiEPuPOW2WeByVFew952CMPKHcQr1iuFZwLZJvR+I2FJwDBy8L2nG/ggesj9d&#10;VzNu1SFYDyPT1xx/lair4hKqVDPADth2TesKxA1JTav6Atotet1CX4WiUvCtgSFx2Rfk5P9RC7uA&#10;tbuI9neVsV317SYeVES7yQcwvF45HT1bRHd87sqV71fiQSd0jwODhO3V7GidkbJ3avJnpasZNOT4&#10;jEwrmS8abLFCC7Trvh0EA1LWVfuHK6ht6yyIstC3gAiyDNtkm6lplGZp5GARpz60BzrXcz04182x&#10;dfkRFp16jrDoe5fZXliAhIXFI7/PN/y+xa4zIgSjPjapTRt6o/V8ECowElsshIEfpAnUe5jujaJR&#10;Gm2xg6UFU6UdYYCtumd5zAX4Iwx6GASQduyhBxSxQHjq3o/pwbDH653/gRLM1V9b5OBAgIDYSQ5J&#10;EPkjRw7Q1xgawDzfaDySw49EDuYzF3yVNJmm/YKKnz0fj036+fCd9+xfAAAA//8DAFBLAwQUAAYA&#10;CAAAACEA0I79sN0AAAAFAQAADwAAAGRycy9kb3ducmV2LnhtbEyPQWvCQBCF74X+h2UKvdVNDGpJ&#10;sxER7UkKVaH0NmbHJJidDdk1if++217qZeDxHu99ky1H04ieOldbVhBPIhDEhdU1lwqOh+3LKwjn&#10;kTU2lknBjRws88eHDFNtB/6kfu9LEUrYpaig8r5NpXRFRQbdxLbEwTvbzqAPsiul7nAI5aaR0yia&#10;S4M1h4UKW1pXVFz2V6PgfcBhlcSbfnc5r2/fh9nH1y4mpZ6fxtUbCE+j/w/DL35AhzwwneyVtRON&#10;gvCI/7vBWyTzKYiTglmcRCDzTN7T5z8AAAD//wMAUEsBAi0AFAAGAAgAAAAhALaDOJL+AAAA4QEA&#10;ABMAAAAAAAAAAAAAAAAAAAAAAFtDb250ZW50X1R5cGVzXS54bWxQSwECLQAUAAYACAAAACEAOP0h&#10;/9YAAACUAQAACwAAAAAAAAAAAAAAAAAvAQAAX3JlbHMvLnJlbHNQSwECLQAUAAYACAAAACEAbqjv&#10;Y2kFAAAvHgAADgAAAAAAAAAAAAAAAAAuAgAAZHJzL2Uyb0RvYy54bWxQSwECLQAUAAYACAAAACEA&#10;0I79sN0AAAAFAQAADwAAAAAAAAAAAAAAAADDBwAAZHJzL2Rvd25yZXYueG1sUEsFBgAAAAAEAAQA&#10;8wAAAM0IAAAAAA==&#10;">
                <v:roundrect id="Rounded Rectangle 3" o:spid="_x0000_s1027" alt="Senate" style="position:absolute;left:12555;width:20949;height:7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Q0wwAAANoAAAAPAAAAZHJzL2Rvd25yZXYueG1sRI9Ba8JA&#10;FITvhf6H5RW8lGajQilpVpGKIHqJsfT8yL5mU7NvQ3aj8d+7gtDjMDPfMPlytK04U+8bxwqmSQqC&#10;uHK64VrB93Hz9gHCB2SNrWNScCUPy8XzU46Zdhc+0LkMtYgQ9hkqMCF0mZS+MmTRJ64jjt6v6y2G&#10;KPta6h4vEW5bOUvTd2mx4bhgsKMvQ9WpHKyC4nUnj1s/DD/yzxf7dVkc+LRSavIyrj5BBBrDf/jR&#10;3moFc7hfiTdALm4AAAD//wMAUEsBAi0AFAAGAAgAAAAhANvh9svuAAAAhQEAABMAAAAAAAAAAAAA&#10;AAAAAAAAAFtDb250ZW50X1R5cGVzXS54bWxQSwECLQAUAAYACAAAACEAWvQsW78AAAAVAQAACwAA&#10;AAAAAAAAAAAAAAAfAQAAX3JlbHMvLnJlbHNQSwECLQAUAAYACAAAACEAcw9UNMMAAADa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0063F6" w:rsidRPr="007C294F" w:rsidRDefault="000063F6" w:rsidP="001058A4">
                        <w:pPr>
                          <w:spacing w:after="0" w:line="240" w:lineRule="auto"/>
                          <w:jc w:val="center"/>
                          <w:rPr>
                            <w:b/>
                            <w:sz w:val="24"/>
                            <w:szCs w:val="24"/>
                          </w:rPr>
                        </w:pPr>
                        <w:r w:rsidRPr="007C294F">
                          <w:rPr>
                            <w:b/>
                            <w:sz w:val="24"/>
                            <w:szCs w:val="24"/>
                          </w:rPr>
                          <w:t>Senate</w:t>
                        </w:r>
                      </w:p>
                    </w:txbxContent>
                  </v:textbox>
                </v:roundrect>
                <v:roundrect id="Rounded Rectangle 4" o:spid="_x0000_s1028" style="position:absolute;left:12555;top:12419;width:20949;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sxAwwAAANoAAAAPAAAAZHJzL2Rvd25yZXYueG1sRI9Ba8JA&#10;FITvhf6H5RW8lGajSClpVpGKIHqJsfT8yL5mU7NvQ3aj8d+7gtDjMDPfMPlytK04U+8bxwqmSQqC&#10;uHK64VrB93Hz9gHCB2SNrWNScCUPy8XzU46Zdhc+0LkMtYgQ9hkqMCF0mZS+MmTRJ64jjt6v6y2G&#10;KPta6h4vEW5bOUvTd2mx4bhgsKMvQ9WpHKyC4nUnj1s/DD/yzxf7dVkc+LRSavIyrj5BBBrDf/jR&#10;3moFc7hfiTdALm4AAAD//wMAUEsBAi0AFAAGAAgAAAAhANvh9svuAAAAhQEAABMAAAAAAAAAAAAA&#10;AAAAAAAAAFtDb250ZW50X1R5cGVzXS54bWxQSwECLQAUAAYACAAAACEAWvQsW78AAAAVAQAACwAA&#10;AAAAAAAAAAAAAAAfAQAAX3JlbHMvLnJlbHNQSwECLQAUAAYACAAAACEA/ObMQMMAAADa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0063F6" w:rsidRPr="007C294F" w:rsidRDefault="000063F6" w:rsidP="001058A4">
                        <w:pPr>
                          <w:spacing w:after="0" w:line="240" w:lineRule="auto"/>
                          <w:jc w:val="center"/>
                          <w:rPr>
                            <w:b/>
                            <w:sz w:val="24"/>
                            <w:szCs w:val="24"/>
                          </w:rPr>
                        </w:pPr>
                        <w:r w:rsidRPr="007C294F">
                          <w:rPr>
                            <w:b/>
                            <w:sz w:val="24"/>
                            <w:szCs w:val="24"/>
                          </w:rPr>
                          <w:t>Board of Examiners</w:t>
                        </w:r>
                      </w:p>
                    </w:txbxContent>
                  </v:textbox>
                </v:roundrect>
                <v:roundrect id="Rounded Rectangle 5" o:spid="_x0000_s1029" style="position:absolute;top:24565;width:20955;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nbwwAAANoAAAAPAAAAZHJzL2Rvd25yZXYueG1sRI9Ba8JA&#10;FITvhf6H5RW8lGajYClpVpGKIHqJsfT8yL5mU7NvQ3aj8d+7gtDjMDPfMPlytK04U+8bxwqmSQqC&#10;uHK64VrB93Hz9gHCB2SNrWNScCUPy8XzU46Zdhc+0LkMtYgQ9hkqMCF0mZS+MmTRJ64jjt6v6y2G&#10;KPta6h4vEW5bOUvTd2mx4bhgsKMvQ9WpHKyC4nUnj1s/DD/yzxf7dVkc+LRSavIyrj5BBBrDf/jR&#10;3moFc7hfiTdALm4AAAD//wMAUEsBAi0AFAAGAAgAAAAhANvh9svuAAAAhQEAABMAAAAAAAAAAAAA&#10;AAAAAAAAAFtDb250ZW50X1R5cGVzXS54bWxQSwECLQAUAAYACAAAACEAWvQsW78AAAAVAQAACwAA&#10;AAAAAAAAAAAAAAAfAQAAX3JlbHMvLnJlbHNQSwECLQAUAAYACAAAACEAk6pp28MAAADa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0063F6" w:rsidRPr="003B70C0" w:rsidRDefault="000063F6" w:rsidP="001058A4">
                        <w:pPr>
                          <w:spacing w:after="0" w:line="240" w:lineRule="auto"/>
                          <w:jc w:val="center"/>
                          <w:rPr>
                            <w:b/>
                            <w:sz w:val="24"/>
                            <w:szCs w:val="24"/>
                          </w:rPr>
                        </w:pPr>
                        <w:r w:rsidRPr="003B70C0">
                          <w:rPr>
                            <w:b/>
                            <w:sz w:val="24"/>
                            <w:szCs w:val="24"/>
                          </w:rPr>
                          <w:t>Mitigating Circumstances Panel</w:t>
                        </w:r>
                      </w:p>
                    </w:txbxContent>
                  </v:textbox>
                </v:roundrect>
                <v:roundrect id="Rounded Rectangle 6" o:spid="_x0000_s1030" style="position:absolute;left:25794;top:24565;width:20955;height:8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eswwAAANoAAAAPAAAAZHJzL2Rvd25yZXYueG1sRI/NasMw&#10;EITvhb6D2EAupZGbgymuFRNSCiG9+Kf0vFgb27G1MpacOG9fFQo9DjPzDZNmixnElSbXWVbwsolA&#10;ENdWd9wo+Ko+nl9BOI+scbBMCu7kINs9PqSYaHvjgq6lb0SAsEtQQev9mEjp6pYMuo0diYN3tpNB&#10;H+TUSD3hLcDNILdRFEuDHYeFFkc6tFT35WwU5E8nWR3dPH/Li8s/38u84H6v1Hq17N9AeFr8f/iv&#10;fdQKYvi9Em6A3P0AAAD//wMAUEsBAi0AFAAGAAgAAAAhANvh9svuAAAAhQEAABMAAAAAAAAAAAAA&#10;AAAAAAAAAFtDb250ZW50X1R5cGVzXS54bWxQSwECLQAUAAYACAAAACEAWvQsW78AAAAVAQAACwAA&#10;AAAAAAAAAAAAAAAfAQAAX3JlbHMvLnJlbHNQSwECLQAUAAYACAAAACEAY3j3rMMAAADa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0063F6" w:rsidRPr="007C294F" w:rsidRDefault="000063F6" w:rsidP="001058A4">
                        <w:pPr>
                          <w:spacing w:after="0" w:line="240" w:lineRule="auto"/>
                          <w:jc w:val="center"/>
                          <w:rPr>
                            <w:b/>
                            <w:sz w:val="24"/>
                            <w:szCs w:val="24"/>
                          </w:rPr>
                        </w:pPr>
                        <w:r w:rsidRPr="007C294F">
                          <w:rPr>
                            <w:b/>
                            <w:sz w:val="24"/>
                            <w:szCs w:val="24"/>
                          </w:rPr>
                          <w:t>Panel of Examiners</w:t>
                        </w:r>
                      </w:p>
                    </w:txbxContent>
                  </v:textbox>
                </v:roundrect>
                <v:shapetype id="_x0000_t32" coordsize="21600,21600" o:spt="32" o:oned="t" path="m,l21600,21600e" filled="f">
                  <v:path arrowok="t" fillok="f" o:connecttype="none"/>
                  <o:lock v:ext="edit" shapetype="t"/>
                </v:shapetype>
                <v:shape id="Straight Arrow Connector 7" o:spid="_x0000_s1031" type="#_x0000_t32" style="position:absolute;left:23064;top:7642;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 id="Straight Arrow Connector 8" o:spid="_x0000_s1032" type="#_x0000_t32" alt="Boards of Examiners feeds into Mitigating Circumstances Panel" style="position:absolute;left:13920;top:19925;width:3798;height:4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0wwAAAANoAAAAPAAAAZHJzL2Rvd25yZXYueG1sRE/LisIw&#10;FN0P+A/hCu7G1AFlqEYRwakL0fGxcHlprm2xuSlNrK1fbxaCy8N5zxatKUVDtSssKxgNIxDEqdUF&#10;ZwrOp/X3LwjnkTWWlklBRw4W897XDGNtH3yg5ugzEULYxagg976KpXRpTgbd0FbEgbva2qAPsM6k&#10;rvERwk0pf6JoIg0WHBpyrGiVU3o73o2C7GAu/0nX7bu/y3O3bUwy9m2i1KDfLqcgPLX+I367N1pB&#10;2BquhBsg5y8AAAD//wMAUEsBAi0AFAAGAAgAAAAhANvh9svuAAAAhQEAABMAAAAAAAAAAAAAAAAA&#10;AAAAAFtDb250ZW50X1R5cGVzXS54bWxQSwECLQAUAAYACAAAACEAWvQsW78AAAAVAQAACwAAAAAA&#10;AAAAAAAAAAAfAQAAX3JlbHMvLnJlbHNQSwECLQAUAAYACAAAACEAmfZdMMAAAADaAAAADwAAAAAA&#10;AAAAAAAAAAAHAgAAZHJzL2Rvd25yZXYueG1sUEsFBgAAAAADAAMAtwAAAPQCAAAAAA==&#10;" strokecolor="#4f81bd [3204]" strokeweight="2pt">
                  <v:stroke endarrow="open"/>
                  <v:shadow on="t" color="black" opacity="24903f" origin=",.5" offset="0,.55556mm"/>
                </v:shape>
                <v:shape id="Straight Arrow Connector 9" o:spid="_x0000_s1033" type="#_x0000_t32" alt="Mitigating circumstances panel fees in to Panel of Examiners" style="position:absolute;left:21017;top:28387;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aKwwAAANoAAAAPAAAAZHJzL2Rvd25yZXYueG1sRI/dasJA&#10;FITvBd9hOYJ3ulGwtKmriCgI/QGT9v40e5pEs2fD7pqkb98tFLwcZuYbZr0dTCM6cr62rGAxT0AQ&#10;F1bXXCr4yI+zRxA+IGtsLJOCH/Kw3YxHa0y17flMXRZKESHsU1RQhdCmUvqiIoN+blvi6H1bZzBE&#10;6UqpHfYRbhq5TJIHabDmuFBhS/uKimt2MwpWB3fetZfX/P3T+ePN1l/u7fKi1HQy7J5BBBrCPfzf&#10;PmkFT/B3Jd4AufkFAAD//wMAUEsBAi0AFAAGAAgAAAAhANvh9svuAAAAhQEAABMAAAAAAAAAAAAA&#10;AAAAAAAAAFtDb250ZW50X1R5cGVzXS54bWxQSwECLQAUAAYACAAAACEAWvQsW78AAAAVAQAACwAA&#10;AAAAAAAAAAAAAAAfAQAAX3JlbHMvLnJlbHNQSwECLQAUAAYACAAAACEAN5QGisMAAADaAAAADwAA&#10;AAAAAAAAAAAAAAAHAgAAZHJzL2Rvd25yZXYueG1sUEsFBgAAAAADAAMAtwAAAPcCAAAAAA==&#10;" strokecolor="#4f81bd [3204]" strokeweight="2pt">
                  <v:stroke endarrow="open"/>
                  <v:shadow on="t" color="black" opacity="24903f" origin=",.5" offset="0,.55556mm"/>
                </v:shape>
                <v:shape id="Straight Arrow Connector 11" o:spid="_x0000_s1034" type="#_x0000_t32" alt="Panel of Examiners feeds into Board of Examiners" style="position:absolute;left:28387;top:19925;width:5131;height:4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7ewwAAANsAAAAPAAAAZHJzL2Rvd25yZXYueG1sRE9Na8JA&#10;EL0L/Q/LFHopuomglOgqoUUUDxVNRbwN2WkSmp0Nu9uY/vtuoeBtHu9zluvBtKIn5xvLCtJJAoK4&#10;tLrhSsFHsRm/gPABWWNrmRT8kIf16mG0xEzbGx+pP4VKxBD2GSqoQ+gyKX1Zk0E/sR1x5D6tMxgi&#10;dJXUDm8x3LRymiRzabDh2FBjR681lV+nb6NAzt6vl7yQ/fPlvHGHXfW2522h1NPjkC9ABBrCXfzv&#10;3uk4P4W/X+IBcvULAAD//wMAUEsBAi0AFAAGAAgAAAAhANvh9svuAAAAhQEAABMAAAAAAAAAAAAA&#10;AAAAAAAAAFtDb250ZW50X1R5cGVzXS54bWxQSwECLQAUAAYACAAAACEAWvQsW78AAAAVAQAACwAA&#10;AAAAAAAAAAAAAAAfAQAAX3JlbHMvLnJlbHNQSwECLQAUAAYACAAAACEA0/C+3sMAAADbAAAADwAA&#10;AAAAAAAAAAAAAAAHAgAAZHJzL2Rvd25yZXYueG1sUEsFBgAAAAADAAMAtwAAAPcCAAAAAA==&#10;" strokecolor="#4f81bd [3204]" strokeweight="2pt">
                  <v:stroke endarrow="open"/>
                  <v:shadow on="t" color="black" opacity="24903f" origin=",.5" offset="0,.55556mm"/>
                </v:shape>
                <w10:anchorlock/>
              </v:group>
            </w:pict>
          </mc:Fallback>
        </mc:AlternateContent>
      </w:r>
      <w:bookmarkStart w:id="2" w:name="_GoBack"/>
      <w:bookmarkEnd w:id="2"/>
    </w:p>
    <w:p w:rsidR="009C4B23" w:rsidRDefault="009C4B23" w:rsidP="00437E08">
      <w:pPr>
        <w:pStyle w:val="ListParagraph"/>
        <w:numPr>
          <w:ilvl w:val="0"/>
          <w:numId w:val="41"/>
        </w:numPr>
        <w:spacing w:after="120"/>
        <w:ind w:left="426" w:hanging="426"/>
        <w:contextualSpacing w:val="0"/>
      </w:pPr>
      <w:r>
        <w:t>Boards and Panels of Examiners are in place to evaluate and maintain academic standards, ensure adherence to the Regulations, consider the interests of individual students and ensure fairness across a cohort.</w:t>
      </w:r>
    </w:p>
    <w:p w:rsidR="009C4B23" w:rsidRDefault="009C4B23" w:rsidP="00437E08">
      <w:pPr>
        <w:pStyle w:val="ListParagraph"/>
        <w:numPr>
          <w:ilvl w:val="0"/>
          <w:numId w:val="41"/>
        </w:numPr>
        <w:spacing w:after="120"/>
        <w:ind w:left="426" w:hanging="426"/>
        <w:contextualSpacing w:val="0"/>
      </w:pPr>
      <w:r>
        <w:t xml:space="preserve">The University operates a two tier process of Panels and Boards of Examiners. </w:t>
      </w:r>
    </w:p>
    <w:p w:rsidR="009C4B23" w:rsidRDefault="009C4B23" w:rsidP="00437E08">
      <w:pPr>
        <w:pStyle w:val="ListParagraph"/>
        <w:numPr>
          <w:ilvl w:val="0"/>
          <w:numId w:val="41"/>
        </w:numPr>
        <w:spacing w:after="120"/>
        <w:ind w:left="426" w:hanging="426"/>
        <w:contextualSpacing w:val="0"/>
      </w:pPr>
      <w:r>
        <w:t xml:space="preserve">Mitigating Circumstances Panels are convened by Boards of Examiners to consider the cases of individual students. </w:t>
      </w:r>
    </w:p>
    <w:p w:rsidR="009C4B23" w:rsidRDefault="009C4B23" w:rsidP="00437E08">
      <w:pPr>
        <w:pStyle w:val="ListParagraph"/>
        <w:numPr>
          <w:ilvl w:val="0"/>
          <w:numId w:val="41"/>
        </w:numPr>
        <w:spacing w:after="120"/>
        <w:ind w:left="426" w:hanging="426"/>
        <w:contextualSpacing w:val="0"/>
      </w:pPr>
      <w:r w:rsidRPr="000F5624">
        <w:t>Senate, as the University’s academic authority has overriding responsibility for academic standards, including the award of degrees.</w:t>
      </w:r>
    </w:p>
    <w:p w:rsidR="009C4B23" w:rsidRDefault="009C4B23" w:rsidP="00437E08">
      <w:pPr>
        <w:pStyle w:val="ListParagraph"/>
        <w:numPr>
          <w:ilvl w:val="0"/>
          <w:numId w:val="41"/>
        </w:numPr>
        <w:spacing w:after="120"/>
        <w:ind w:left="426" w:hanging="426"/>
        <w:contextualSpacing w:val="0"/>
      </w:pPr>
      <w:r w:rsidRPr="000F5624">
        <w:t xml:space="preserve">Boards of Examiners act under delegated </w:t>
      </w:r>
      <w:r>
        <w:t xml:space="preserve">authority </w:t>
      </w:r>
      <w:r w:rsidRPr="000F5624">
        <w:t>from Senate</w:t>
      </w:r>
      <w:r>
        <w:t xml:space="preserve"> which means that they are empowered to make awards on Senate’s behalf</w:t>
      </w:r>
      <w:r w:rsidRPr="000F5624">
        <w:t>.</w:t>
      </w:r>
      <w:r>
        <w:t xml:space="preserve"> Once a Board of Examiners had made an award the student can be formally notified by </w:t>
      </w:r>
      <w:r w:rsidR="00F92E7C">
        <w:t>Student Records</w:t>
      </w:r>
      <w:r>
        <w:t>. Awards are then conferred at the next degree congregation.</w:t>
      </w:r>
    </w:p>
    <w:p w:rsidR="009C4B23" w:rsidRDefault="009C4B23" w:rsidP="00437E08">
      <w:pPr>
        <w:pStyle w:val="ListParagraph"/>
        <w:numPr>
          <w:ilvl w:val="0"/>
          <w:numId w:val="41"/>
        </w:numPr>
        <w:spacing w:after="120"/>
        <w:ind w:left="426" w:hanging="426"/>
        <w:contextualSpacing w:val="0"/>
      </w:pPr>
      <w:r w:rsidRPr="000F5624">
        <w:t>The University requires that a Board of Examiners is convened for each taught programme or set of cognate programmes.</w:t>
      </w:r>
    </w:p>
    <w:p w:rsidR="009C4B23" w:rsidRDefault="009C4B23" w:rsidP="00437E08">
      <w:pPr>
        <w:pStyle w:val="ListParagraph"/>
        <w:numPr>
          <w:ilvl w:val="0"/>
          <w:numId w:val="41"/>
        </w:numPr>
        <w:spacing w:after="120"/>
        <w:ind w:left="426" w:hanging="426"/>
        <w:contextualSpacing w:val="0"/>
      </w:pPr>
      <w:r w:rsidRPr="000F5624">
        <w:t>A Panel of Examiners is convened for clusters of cognate modules and reports to the Board of Examiners.</w:t>
      </w:r>
    </w:p>
    <w:p w:rsidR="009C4B23" w:rsidRPr="000F5624" w:rsidRDefault="009C4B23" w:rsidP="00437E08">
      <w:pPr>
        <w:pStyle w:val="ListParagraph"/>
        <w:numPr>
          <w:ilvl w:val="0"/>
          <w:numId w:val="41"/>
        </w:numPr>
        <w:spacing w:after="120"/>
        <w:ind w:left="426" w:hanging="426"/>
        <w:contextualSpacing w:val="0"/>
      </w:pPr>
      <w:r w:rsidRPr="000F5624">
        <w:t>Mitigating Circumstances</w:t>
      </w:r>
      <w:r>
        <w:t xml:space="preserve"> Panels</w:t>
      </w:r>
      <w:r w:rsidRPr="000F5624">
        <w:t xml:space="preserve"> are established by Boards of Examiners to consider students’ mitigating circumstances on th</w:t>
      </w:r>
      <w:r>
        <w:t xml:space="preserve">e basis of documentary evidence. These panels </w:t>
      </w:r>
      <w:r w:rsidRPr="000F5624">
        <w:t>operate under delegated powers from the Board of Examiners, making recommendations to Panels of Examiners.</w:t>
      </w:r>
    </w:p>
    <w:p w:rsidR="009C4B23" w:rsidRPr="008E56B2" w:rsidRDefault="009C4B23" w:rsidP="00E35513">
      <w:pPr>
        <w:pStyle w:val="Heading2"/>
      </w:pPr>
      <w:bookmarkStart w:id="3" w:name="_Toc101346930"/>
      <w:r w:rsidRPr="008E56B2">
        <w:t>Boards of Examiners</w:t>
      </w:r>
      <w:bookmarkEnd w:id="3"/>
    </w:p>
    <w:p w:rsidR="009C4B23" w:rsidRDefault="009C4B23" w:rsidP="00A378D8">
      <w:pPr>
        <w:pStyle w:val="body"/>
      </w:pPr>
      <w:r>
        <w:lastRenderedPageBreak/>
        <w:t>A Board of Examiners is the body responsible for overseeing each student’s academic performance on the relevant programmes and for making decisions on progression and award based on assessment results.</w:t>
      </w:r>
    </w:p>
    <w:p w:rsidR="009C4B23" w:rsidRDefault="009C4B23" w:rsidP="00A378D8">
      <w:pPr>
        <w:pStyle w:val="body"/>
      </w:pPr>
      <w:r>
        <w:t>A Board ensures that students are treated consistently and fairly and appropriate academic standards are maintained.</w:t>
      </w:r>
    </w:p>
    <w:p w:rsidR="009C4B23" w:rsidRPr="00C26898" w:rsidRDefault="009C4B23" w:rsidP="00A378D8">
      <w:pPr>
        <w:pStyle w:val="body"/>
      </w:pPr>
      <w:r>
        <w:t xml:space="preserve">Heads of </w:t>
      </w:r>
      <w:r w:rsidR="00E32775">
        <w:t>School</w:t>
      </w:r>
      <w:r>
        <w:t xml:space="preserve"> are responsible for deciding how Boards of Examiners are organised for their </w:t>
      </w:r>
      <w:r w:rsidR="00E32775">
        <w:t>School</w:t>
      </w:r>
      <w:r>
        <w:t xml:space="preserve"> and for the programmes for which a Board is responsible. For example, Boards of Examiners may encompass more than one level of a programme or more than one programme. Alternatively, separate meetings may be held to consider award and progression decisions.</w:t>
      </w:r>
    </w:p>
    <w:p w:rsidR="009C4B23" w:rsidRPr="00600025" w:rsidRDefault="009C4B23" w:rsidP="00E35513">
      <w:pPr>
        <w:pStyle w:val="Heading3"/>
      </w:pPr>
      <w:bookmarkStart w:id="4" w:name="_Toc101346931"/>
      <w:r>
        <w:t>Role of Boards</w:t>
      </w:r>
      <w:bookmarkEnd w:id="4"/>
    </w:p>
    <w:p w:rsidR="009C4B23" w:rsidRPr="000F5624" w:rsidRDefault="009C4B23" w:rsidP="00A378D8">
      <w:pPr>
        <w:pStyle w:val="body"/>
      </w:pPr>
      <w:r w:rsidRPr="000F5624">
        <w:t>The role of a Board of Examiners is to:</w:t>
      </w:r>
    </w:p>
    <w:p w:rsidR="009C4B23" w:rsidRPr="000F5624" w:rsidRDefault="009C4B23" w:rsidP="009C4B23">
      <w:pPr>
        <w:pStyle w:val="ListParagraph"/>
        <w:numPr>
          <w:ilvl w:val="0"/>
          <w:numId w:val="42"/>
        </w:numPr>
        <w:spacing w:after="0"/>
      </w:pPr>
      <w:r w:rsidRPr="000F5624">
        <w:t>confirm the recommended module outcomes from one or more Panels of Examiners</w:t>
      </w:r>
      <w:r w:rsidR="00E35513">
        <w:t>;</w:t>
      </w:r>
    </w:p>
    <w:p w:rsidR="009C4B23" w:rsidRPr="000F5624" w:rsidRDefault="009C4B23" w:rsidP="009C4B23">
      <w:pPr>
        <w:pStyle w:val="ListParagraph"/>
        <w:numPr>
          <w:ilvl w:val="0"/>
          <w:numId w:val="42"/>
        </w:numPr>
        <w:spacing w:after="0"/>
      </w:pPr>
      <w:r w:rsidRPr="000F5624">
        <w:t>consider the academic performance of individual students</w:t>
      </w:r>
      <w:r w:rsidR="00E35513">
        <w:t>;</w:t>
      </w:r>
    </w:p>
    <w:p w:rsidR="009C4B23" w:rsidRDefault="009C4B23" w:rsidP="009C4B23">
      <w:pPr>
        <w:pStyle w:val="ListParagraph"/>
        <w:numPr>
          <w:ilvl w:val="0"/>
          <w:numId w:val="42"/>
        </w:numPr>
        <w:spacing w:after="0"/>
      </w:pPr>
      <w:r w:rsidRPr="000F5624">
        <w:t>agree awards and classifications</w:t>
      </w:r>
      <w:r>
        <w:t>, in accordance with regulations</w:t>
      </w:r>
      <w:r w:rsidR="00E35513">
        <w:t>;</w:t>
      </w:r>
    </w:p>
    <w:p w:rsidR="009C4B23" w:rsidRPr="000F5624" w:rsidRDefault="009C4B23" w:rsidP="009C4B23">
      <w:pPr>
        <w:pStyle w:val="ListParagraph"/>
        <w:numPr>
          <w:ilvl w:val="0"/>
          <w:numId w:val="42"/>
        </w:numPr>
        <w:spacing w:after="0"/>
      </w:pPr>
      <w:r>
        <w:t xml:space="preserve">consider borderline </w:t>
      </w:r>
      <w:r w:rsidR="00832CEB">
        <w:t>cases (see Senate Regulation 5.3</w:t>
      </w:r>
      <w:r>
        <w:t>3 for further guidance)</w:t>
      </w:r>
      <w:r w:rsidR="00E35513">
        <w:t>;</w:t>
      </w:r>
    </w:p>
    <w:p w:rsidR="009C4B23" w:rsidRPr="000F5624" w:rsidRDefault="009C4B23" w:rsidP="009C4B23">
      <w:pPr>
        <w:pStyle w:val="ListParagraph"/>
        <w:numPr>
          <w:ilvl w:val="0"/>
          <w:numId w:val="42"/>
        </w:numPr>
        <w:spacing w:after="0"/>
      </w:pPr>
      <w:r w:rsidRPr="000F5624">
        <w:t>agree progression decisions</w:t>
      </w:r>
      <w:r>
        <w:t>, including recommendations for re-assessment or termination of studies</w:t>
      </w:r>
      <w:r w:rsidR="00E35513">
        <w:t>;</w:t>
      </w:r>
    </w:p>
    <w:p w:rsidR="009C4B23" w:rsidRPr="000F5624" w:rsidRDefault="009C4B23" w:rsidP="009C4B23">
      <w:pPr>
        <w:pStyle w:val="ListParagraph"/>
        <w:numPr>
          <w:ilvl w:val="0"/>
          <w:numId w:val="42"/>
        </w:numPr>
        <w:spacing w:after="0"/>
      </w:pPr>
      <w:r w:rsidRPr="000F5624">
        <w:t>ensure the appropriateness of marking practices for the modules for which it has responsibility</w:t>
      </w:r>
      <w:r w:rsidR="00E35513">
        <w:t>;</w:t>
      </w:r>
    </w:p>
    <w:p w:rsidR="009C4B23" w:rsidRPr="00253C79" w:rsidRDefault="009C4B23" w:rsidP="009C4B23">
      <w:pPr>
        <w:pStyle w:val="ListParagraph"/>
        <w:numPr>
          <w:ilvl w:val="0"/>
          <w:numId w:val="42"/>
        </w:numPr>
        <w:spacing w:after="0"/>
        <w:rPr>
          <w:sz w:val="24"/>
          <w:szCs w:val="24"/>
        </w:rPr>
      </w:pPr>
      <w:r w:rsidRPr="000F5624">
        <w:t>make recommendations on prizes</w:t>
      </w:r>
      <w:r w:rsidR="00E35513">
        <w:t>;</w:t>
      </w:r>
    </w:p>
    <w:p w:rsidR="009C4B23" w:rsidRDefault="009C4B23" w:rsidP="009C4B23">
      <w:pPr>
        <w:pStyle w:val="ListParagraph"/>
        <w:numPr>
          <w:ilvl w:val="0"/>
          <w:numId w:val="42"/>
        </w:numPr>
        <w:spacing w:after="0"/>
        <w:rPr>
          <w:sz w:val="24"/>
          <w:szCs w:val="24"/>
        </w:rPr>
      </w:pPr>
      <w:r>
        <w:t>consider comments from external examiners</w:t>
      </w:r>
      <w:r w:rsidR="00E35513">
        <w:t>.</w:t>
      </w:r>
    </w:p>
    <w:p w:rsidR="009C4B23" w:rsidRDefault="009C4B23" w:rsidP="00E35513">
      <w:pPr>
        <w:pStyle w:val="Heading3"/>
      </w:pPr>
      <w:bookmarkStart w:id="5" w:name="_Toc101346932"/>
      <w:r>
        <w:t>Membership</w:t>
      </w:r>
      <w:bookmarkEnd w:id="5"/>
    </w:p>
    <w:p w:rsidR="009C4B23" w:rsidRPr="00F804C4" w:rsidRDefault="00832CEB" w:rsidP="009C4B23">
      <w:pPr>
        <w:spacing w:after="0"/>
      </w:pPr>
      <w:r>
        <w:t xml:space="preserve">Chair – a senior member of the academic staff of the </w:t>
      </w:r>
      <w:r w:rsidR="00F92E7C">
        <w:t>School</w:t>
      </w:r>
    </w:p>
    <w:p w:rsidR="009C4B23" w:rsidRPr="00F804C4" w:rsidRDefault="009C4B23" w:rsidP="009C4B23">
      <w:pPr>
        <w:spacing w:after="0"/>
      </w:pPr>
      <w:r w:rsidRPr="00F804C4">
        <w:t>Two members of each Panel of Examiners, one of whom is normally the Chair of the Panel</w:t>
      </w:r>
    </w:p>
    <w:p w:rsidR="009C4B23" w:rsidRDefault="009C4B23" w:rsidP="009C4B23">
      <w:pPr>
        <w:spacing w:after="0"/>
      </w:pPr>
      <w:r>
        <w:t>O</w:t>
      </w:r>
      <w:r w:rsidRPr="00F804C4">
        <w:t>ther members of the academic staff</w:t>
      </w:r>
      <w:r w:rsidR="00365C3B">
        <w:t>,</w:t>
      </w:r>
      <w:r w:rsidRPr="00F804C4">
        <w:t xml:space="preserve"> as required to </w:t>
      </w:r>
      <w:r>
        <w:t>ensure that informed progression and award decisions can be made</w:t>
      </w:r>
    </w:p>
    <w:p w:rsidR="00C336A6" w:rsidRPr="00F804C4" w:rsidRDefault="00C336A6" w:rsidP="00C336A6">
      <w:pPr>
        <w:spacing w:after="0"/>
      </w:pPr>
      <w:r w:rsidRPr="00F804C4">
        <w:t>External Examiner</w:t>
      </w:r>
      <w:r>
        <w:t>(</w:t>
      </w:r>
      <w:r w:rsidRPr="00F804C4">
        <w:t>s</w:t>
      </w:r>
      <w:r>
        <w:t>), where awards are being made (external examiners are not expected to attend progression Boards).</w:t>
      </w:r>
    </w:p>
    <w:p w:rsidR="009C4B23" w:rsidRPr="00F804C4" w:rsidRDefault="009C4B23" w:rsidP="00E35513">
      <w:pPr>
        <w:spacing w:before="240" w:after="240"/>
      </w:pPr>
      <w:r w:rsidRPr="00F804C4">
        <w:t xml:space="preserve">A Secretary (a member of the </w:t>
      </w:r>
      <w:r w:rsidR="00F92E7C">
        <w:t>School</w:t>
      </w:r>
      <w:r w:rsidRPr="00F804C4">
        <w:t xml:space="preserve">’s administrative staff), appointed by the Head of </w:t>
      </w:r>
      <w:r w:rsidR="00F92E7C">
        <w:t>School</w:t>
      </w:r>
    </w:p>
    <w:p w:rsidR="009C4B23" w:rsidRPr="00F804C4" w:rsidRDefault="009C4B23" w:rsidP="009C4B23">
      <w:pPr>
        <w:spacing w:after="0"/>
      </w:pPr>
      <w:r w:rsidRPr="00F804C4">
        <w:t>For B</w:t>
      </w:r>
      <w:r>
        <w:t xml:space="preserve">oards which are making awards an </w:t>
      </w:r>
      <w:r w:rsidRPr="00F804C4">
        <w:t>Academic Registrar</w:t>
      </w:r>
      <w:r>
        <w:t>’s Representative</w:t>
      </w:r>
      <w:r w:rsidRPr="00F804C4">
        <w:t xml:space="preserve"> is also required to attend.</w:t>
      </w:r>
    </w:p>
    <w:p w:rsidR="009C4B23" w:rsidRPr="00065ED5" w:rsidRDefault="009C4B23" w:rsidP="00E35513">
      <w:pPr>
        <w:pStyle w:val="Heading3"/>
        <w:keepNext/>
        <w:rPr>
          <w:sz w:val="28"/>
          <w:szCs w:val="28"/>
        </w:rPr>
      </w:pPr>
      <w:bookmarkStart w:id="6" w:name="_Toc101346933"/>
      <w:r w:rsidRPr="00065ED5">
        <w:rPr>
          <w:sz w:val="28"/>
          <w:szCs w:val="28"/>
        </w:rPr>
        <w:t>Principles on the Conduct of Business</w:t>
      </w:r>
      <w:bookmarkEnd w:id="6"/>
    </w:p>
    <w:p w:rsidR="009C4B23" w:rsidRPr="00253C79" w:rsidRDefault="009C4B23" w:rsidP="009C4B23">
      <w:pPr>
        <w:pStyle w:val="ListParagraph"/>
        <w:numPr>
          <w:ilvl w:val="0"/>
          <w:numId w:val="45"/>
        </w:numPr>
        <w:spacing w:after="0"/>
        <w:rPr>
          <w:b/>
          <w:sz w:val="24"/>
          <w:szCs w:val="24"/>
        </w:rPr>
      </w:pPr>
      <w:r w:rsidRPr="00253C79">
        <w:t>Boards of Examiners must meet at the end of assessment cycles to ensure that award</w:t>
      </w:r>
      <w:r>
        <w:t xml:space="preserve"> decisions are made at the appropriate time to allow students to graduate or to receive progression decisions in sufficient time to allow reassessment, where required</w:t>
      </w:r>
      <w:r w:rsidR="00437E08">
        <w:t>;</w:t>
      </w:r>
    </w:p>
    <w:p w:rsidR="009C4B23" w:rsidRDefault="009C4B23" w:rsidP="009C4B23">
      <w:pPr>
        <w:pStyle w:val="ListParagraph"/>
        <w:numPr>
          <w:ilvl w:val="0"/>
          <w:numId w:val="45"/>
        </w:numPr>
        <w:spacing w:after="0"/>
      </w:pPr>
      <w:r w:rsidRPr="000F5624">
        <w:lastRenderedPageBreak/>
        <w:t>At least 75% of membership must attend Boards of Examiners</w:t>
      </w:r>
      <w:r w:rsidR="00C336A6">
        <w:t>, and must include the Chair;</w:t>
      </w:r>
    </w:p>
    <w:p w:rsidR="009C4B23" w:rsidRPr="000F5624" w:rsidRDefault="009C4B23" w:rsidP="009C4B23">
      <w:pPr>
        <w:pStyle w:val="ListParagraph"/>
        <w:numPr>
          <w:ilvl w:val="0"/>
          <w:numId w:val="45"/>
        </w:numPr>
        <w:spacing w:after="0"/>
      </w:pPr>
      <w:r>
        <w:t>Except in exceptional circumstances members of the Board are expected to stay for the duration of meetings to ensure</w:t>
      </w:r>
      <w:r w:rsidR="00437E08">
        <w:t xml:space="preserve"> consistency of decision making;</w:t>
      </w:r>
    </w:p>
    <w:p w:rsidR="009C4B23" w:rsidRPr="000F5624" w:rsidRDefault="009C4B23" w:rsidP="009C4B23">
      <w:pPr>
        <w:pStyle w:val="ListParagraph"/>
        <w:numPr>
          <w:ilvl w:val="0"/>
          <w:numId w:val="45"/>
        </w:numPr>
        <w:spacing w:after="0"/>
      </w:pPr>
      <w:r w:rsidRPr="000F5624">
        <w:t>Board meetings</w:t>
      </w:r>
      <w:r w:rsidR="00437E08">
        <w:t xml:space="preserve"> will follow a standard agenda;</w:t>
      </w:r>
    </w:p>
    <w:p w:rsidR="009C4B23" w:rsidRPr="000F5624" w:rsidRDefault="009C4B23" w:rsidP="009C4B23">
      <w:pPr>
        <w:pStyle w:val="ListParagraph"/>
        <w:numPr>
          <w:ilvl w:val="0"/>
          <w:numId w:val="45"/>
        </w:numPr>
        <w:spacing w:after="0"/>
      </w:pPr>
      <w:r w:rsidRPr="000F5624">
        <w:t>Boards will be provided with a standard da</w:t>
      </w:r>
      <w:r w:rsidR="00F92E7C">
        <w:t>ta set from SITS by Student Records</w:t>
      </w:r>
      <w:r w:rsidR="00437E08">
        <w:t>;</w:t>
      </w:r>
    </w:p>
    <w:p w:rsidR="009C4B23" w:rsidRPr="000F5624" w:rsidRDefault="009C4B23" w:rsidP="009C4B23">
      <w:pPr>
        <w:pStyle w:val="ListParagraph"/>
        <w:numPr>
          <w:ilvl w:val="0"/>
          <w:numId w:val="45"/>
        </w:numPr>
        <w:spacing w:after="0"/>
      </w:pPr>
      <w:r w:rsidRPr="000F5624">
        <w:t>Boards will confirm the recommended module outcomes from one or more Panel of Examiners</w:t>
      </w:r>
      <w:r w:rsidR="00437E08">
        <w:t>;</w:t>
      </w:r>
    </w:p>
    <w:p w:rsidR="009C4B23" w:rsidRPr="000F5624" w:rsidRDefault="009C4B23" w:rsidP="009C4B23">
      <w:pPr>
        <w:pStyle w:val="ListParagraph"/>
        <w:numPr>
          <w:ilvl w:val="0"/>
          <w:numId w:val="45"/>
        </w:numPr>
        <w:spacing w:after="0"/>
      </w:pPr>
      <w:r>
        <w:t>Boards will c</w:t>
      </w:r>
      <w:r w:rsidRPr="000F5624">
        <w:t>onsi</w:t>
      </w:r>
      <w:r w:rsidR="00437E08">
        <w:t>der and confirm award decisions;</w:t>
      </w:r>
    </w:p>
    <w:p w:rsidR="009C4B23" w:rsidRPr="000F5624" w:rsidRDefault="009C4B23" w:rsidP="009C4B23">
      <w:pPr>
        <w:pStyle w:val="ListParagraph"/>
        <w:numPr>
          <w:ilvl w:val="0"/>
          <w:numId w:val="45"/>
        </w:numPr>
        <w:spacing w:after="0"/>
      </w:pPr>
      <w:r>
        <w:t>Boards will c</w:t>
      </w:r>
      <w:r w:rsidRPr="000F5624">
        <w:t>onsider and confirm progression decisions</w:t>
      </w:r>
      <w:r w:rsidR="00437E08">
        <w:t>;</w:t>
      </w:r>
    </w:p>
    <w:p w:rsidR="009C4B23" w:rsidRDefault="009C4B23" w:rsidP="009C4B23">
      <w:pPr>
        <w:pStyle w:val="ListParagraph"/>
        <w:numPr>
          <w:ilvl w:val="0"/>
          <w:numId w:val="45"/>
        </w:numPr>
        <w:spacing w:after="0"/>
      </w:pPr>
      <w:r>
        <w:t>Boards will r</w:t>
      </w:r>
      <w:r w:rsidRPr="000F5624">
        <w:t xml:space="preserve">eceive </w:t>
      </w:r>
      <w:r>
        <w:t xml:space="preserve">and consider </w:t>
      </w:r>
      <w:r w:rsidRPr="000F5624">
        <w:t>comments from external examiners</w:t>
      </w:r>
      <w:r w:rsidR="00437E08">
        <w:t>;</w:t>
      </w:r>
    </w:p>
    <w:p w:rsidR="009C4B23" w:rsidRDefault="009C4B23" w:rsidP="009C4B23">
      <w:pPr>
        <w:pStyle w:val="ListParagraph"/>
        <w:numPr>
          <w:ilvl w:val="0"/>
          <w:numId w:val="45"/>
        </w:numPr>
        <w:spacing w:after="0"/>
      </w:pPr>
      <w:r>
        <w:t>The Board of Examiners Report is the primary record of the Board’s decisions and authority and should be signed as an accurate record by the Chair at the end of each meeting</w:t>
      </w:r>
      <w:r w:rsidR="00437E08">
        <w:t>;</w:t>
      </w:r>
    </w:p>
    <w:p w:rsidR="009C4B23" w:rsidRPr="000F5624" w:rsidRDefault="009C4B23" w:rsidP="00E35513">
      <w:pPr>
        <w:pStyle w:val="ListParagraph"/>
        <w:numPr>
          <w:ilvl w:val="0"/>
          <w:numId w:val="45"/>
        </w:numPr>
        <w:spacing w:after="360"/>
      </w:pPr>
      <w:r>
        <w:t>In cases where a decision is deferred the Board will require the Chair to take action on its behalf at a later date</w:t>
      </w:r>
      <w:r w:rsidR="00437E08">
        <w:t>.</w:t>
      </w:r>
    </w:p>
    <w:p w:rsidR="009C4B23" w:rsidRPr="00E35513" w:rsidRDefault="009C4B23" w:rsidP="00E35513">
      <w:pPr>
        <w:pStyle w:val="Heading2"/>
      </w:pPr>
      <w:bookmarkStart w:id="7" w:name="_Toc101346934"/>
      <w:r w:rsidRPr="00E35513">
        <w:t>Mitigating Circumstances Panels</w:t>
      </w:r>
      <w:bookmarkEnd w:id="7"/>
    </w:p>
    <w:p w:rsidR="009C4B23" w:rsidRDefault="009C4B23" w:rsidP="008D20E1">
      <w:pPr>
        <w:pStyle w:val="body"/>
      </w:pPr>
      <w:r>
        <w:t>Boards of Examiners establish Mitigating Circumstances Panels to consider individual student cases.</w:t>
      </w:r>
    </w:p>
    <w:p w:rsidR="009C4B23" w:rsidRDefault="009C4B23" w:rsidP="008D20E1">
      <w:pPr>
        <w:pStyle w:val="body"/>
      </w:pPr>
      <w:r>
        <w:t>Mitigating Circumstances Panels determine whether sufficient grounds for mitigation have been established and make recommendations on the appropriate course of action to Panels of Examiners. Neither Panels nor Boards of Examiners consider the mitigating circumstances of individual students.</w:t>
      </w:r>
    </w:p>
    <w:p w:rsidR="009C4B23" w:rsidRDefault="009C4B23" w:rsidP="008D20E1">
      <w:pPr>
        <w:pStyle w:val="body"/>
      </w:pPr>
      <w:r>
        <w:t>Panels of Examiners accept the recommendations of Mitigating Circumstances Panels and determine the outcome for the module which the regulations state as follows:</w:t>
      </w:r>
    </w:p>
    <w:p w:rsidR="009C4B23" w:rsidRDefault="009C4B23" w:rsidP="009C4B23">
      <w:pPr>
        <w:pStyle w:val="ListParagraph"/>
        <w:numPr>
          <w:ilvl w:val="0"/>
          <w:numId w:val="44"/>
        </w:numPr>
        <w:spacing w:after="0"/>
      </w:pPr>
      <w:r>
        <w:t>Provide a student with the opportunity to take the affected assessment(s) as if for the first time i.e. a sit or submit, allowing them to be given the full marks achieved for the examination or assessment so no cap is imposed (unless the assessment affected was already a re-sit or re-submission in which case a further re-sit or re-submission with a capped mark is permitted)</w:t>
      </w:r>
      <w:r w:rsidR="00437E08">
        <w:t>;</w:t>
      </w:r>
    </w:p>
    <w:p w:rsidR="009C4B23" w:rsidRDefault="009C4B23" w:rsidP="009C4B23">
      <w:pPr>
        <w:pStyle w:val="ListParagraph"/>
        <w:numPr>
          <w:ilvl w:val="0"/>
          <w:numId w:val="44"/>
        </w:numPr>
        <w:spacing w:after="0"/>
      </w:pPr>
      <w:r>
        <w:t>Waive late submission penalties</w:t>
      </w:r>
      <w:r w:rsidR="00437E08">
        <w:t>;</w:t>
      </w:r>
    </w:p>
    <w:p w:rsidR="009C4B23" w:rsidRDefault="009C4B23" w:rsidP="009C4B23">
      <w:pPr>
        <w:pStyle w:val="ListParagraph"/>
        <w:numPr>
          <w:ilvl w:val="0"/>
          <w:numId w:val="44"/>
        </w:numPr>
        <w:spacing w:after="0"/>
      </w:pPr>
      <w:r>
        <w:t>Determine that there is sufficient evidence of the achievement of intended learning outcomes from other pieces of assessment for the module(s) for an overall mark to be derived</w:t>
      </w:r>
      <w:r w:rsidR="00437E08">
        <w:t>;</w:t>
      </w:r>
    </w:p>
    <w:p w:rsidR="009C4B23" w:rsidRPr="006F3411" w:rsidRDefault="009C4B23" w:rsidP="009C4B23">
      <w:pPr>
        <w:pStyle w:val="ListParagraph"/>
        <w:numPr>
          <w:ilvl w:val="0"/>
          <w:numId w:val="44"/>
        </w:numPr>
        <w:spacing w:after="0"/>
      </w:pPr>
      <w:r>
        <w:t>Note the accepted mitigation for the module(s) and recommend that the Board of Examiners takes this into account when considering borderline cases at the point of award and classification</w:t>
      </w:r>
      <w:r w:rsidR="00437E08">
        <w:t>.</w:t>
      </w:r>
    </w:p>
    <w:p w:rsidR="009C4B23" w:rsidRDefault="009C4B23" w:rsidP="00E35513">
      <w:pPr>
        <w:pStyle w:val="Heading2"/>
        <w:keepNext/>
      </w:pPr>
      <w:bookmarkStart w:id="8" w:name="_Toc101346935"/>
      <w:r>
        <w:t xml:space="preserve">Key </w:t>
      </w:r>
      <w:r w:rsidRPr="008E56B2">
        <w:t xml:space="preserve">Roles </w:t>
      </w:r>
      <w:r w:rsidR="00315B25">
        <w:t>at Boards of Examiners</w:t>
      </w:r>
      <w:bookmarkEnd w:id="8"/>
    </w:p>
    <w:p w:rsidR="009C4B23" w:rsidRDefault="009C4B23" w:rsidP="00E35513">
      <w:pPr>
        <w:pStyle w:val="Heading3"/>
      </w:pPr>
      <w:bookmarkStart w:id="9" w:name="_Toc101346936"/>
      <w:r>
        <w:t>Chair</w:t>
      </w:r>
      <w:bookmarkEnd w:id="9"/>
    </w:p>
    <w:p w:rsidR="009C4B23" w:rsidRDefault="009C4B23" w:rsidP="008D20E1">
      <w:pPr>
        <w:pStyle w:val="body"/>
      </w:pPr>
      <w:r w:rsidRPr="000F5624">
        <w:t xml:space="preserve">The Chair of a Board of Examiners is </w:t>
      </w:r>
      <w:r w:rsidR="00832CEB">
        <w:t xml:space="preserve">a senior member of academic staff, this may be the head of </w:t>
      </w:r>
      <w:r w:rsidR="00E32775">
        <w:t>school</w:t>
      </w:r>
      <w:r w:rsidR="00832CEB">
        <w:t xml:space="preserve"> or another member of staff approved to undertake this role</w:t>
      </w:r>
      <w:r w:rsidRPr="000F5624">
        <w:t>.</w:t>
      </w:r>
      <w:r>
        <w:t xml:space="preserve"> </w:t>
      </w:r>
    </w:p>
    <w:p w:rsidR="009C4B23" w:rsidRPr="000F5624" w:rsidRDefault="009C4B23" w:rsidP="008D20E1">
      <w:pPr>
        <w:pStyle w:val="body"/>
      </w:pPr>
      <w:r>
        <w:lastRenderedPageBreak/>
        <w:t>If there is a vote at a meeting the Chair will only vote if there is a tie in which case he/she will have the casting vote.</w:t>
      </w:r>
    </w:p>
    <w:p w:rsidR="009C4B23" w:rsidRPr="000F5624" w:rsidRDefault="009C4B23" w:rsidP="008D20E1">
      <w:pPr>
        <w:pStyle w:val="body"/>
      </w:pPr>
      <w:r w:rsidRPr="000F5624">
        <w:t>The role of the Chair at meetings of Boards of Examiners is to:</w:t>
      </w:r>
    </w:p>
    <w:p w:rsidR="009C4B23" w:rsidRPr="000F5624" w:rsidRDefault="009C4B23" w:rsidP="009C4B23">
      <w:pPr>
        <w:pStyle w:val="ListParagraph"/>
        <w:numPr>
          <w:ilvl w:val="0"/>
          <w:numId w:val="43"/>
        </w:numPr>
        <w:spacing w:after="0"/>
      </w:pPr>
      <w:r w:rsidRPr="000F5624">
        <w:t>ensure that proceedings are</w:t>
      </w:r>
      <w:r>
        <w:t xml:space="preserve"> properly conducted and</w:t>
      </w:r>
      <w:r w:rsidRPr="000F5624">
        <w:t xml:space="preserve"> managed in an efficient manner </w:t>
      </w:r>
      <w:r>
        <w:t xml:space="preserve">using the prescribed documentation </w:t>
      </w:r>
      <w:r w:rsidRPr="000F5624">
        <w:t xml:space="preserve">and members are </w:t>
      </w:r>
      <w:r>
        <w:t xml:space="preserve">appropriately </w:t>
      </w:r>
      <w:r w:rsidRPr="000F5624">
        <w:t>briefed</w:t>
      </w:r>
      <w:r w:rsidR="00437E08">
        <w:t>;</w:t>
      </w:r>
    </w:p>
    <w:p w:rsidR="009C4B23" w:rsidRPr="000F5624" w:rsidRDefault="009C4B23" w:rsidP="009C4B23">
      <w:pPr>
        <w:pStyle w:val="ListParagraph"/>
        <w:numPr>
          <w:ilvl w:val="0"/>
          <w:numId w:val="43"/>
        </w:numPr>
        <w:spacing w:after="0"/>
      </w:pPr>
      <w:r w:rsidRPr="000F5624">
        <w:t>ensure that students are treated equitably and in accordance with programme regulations and University regulations for progression and award, guiding the Board to clear recommendations and decisions</w:t>
      </w:r>
      <w:r w:rsidR="00437E08">
        <w:t>;</w:t>
      </w:r>
    </w:p>
    <w:p w:rsidR="009C4B23" w:rsidRPr="000F5624" w:rsidRDefault="009C4B23" w:rsidP="009C4B23">
      <w:pPr>
        <w:pStyle w:val="ListParagraph"/>
        <w:numPr>
          <w:ilvl w:val="0"/>
          <w:numId w:val="43"/>
        </w:numPr>
        <w:spacing w:after="0"/>
      </w:pPr>
      <w:r w:rsidRPr="000F5624">
        <w:t>ensure that where external examiners are present they are invited to comment on the proceedings and arrangements fo</w:t>
      </w:r>
      <w:r w:rsidR="00DB3A05">
        <w:t>r the Board, on the academic standards of the programme and any other issues which they consider relevant</w:t>
      </w:r>
      <w:r w:rsidR="00437E08">
        <w:t>;</w:t>
      </w:r>
    </w:p>
    <w:p w:rsidR="009C4B23" w:rsidRDefault="009C4B23" w:rsidP="009C4B23">
      <w:pPr>
        <w:pStyle w:val="ListParagraph"/>
        <w:numPr>
          <w:ilvl w:val="0"/>
          <w:numId w:val="43"/>
        </w:numPr>
        <w:spacing w:after="0"/>
      </w:pPr>
      <w:r>
        <w:t xml:space="preserve">be responsible </w:t>
      </w:r>
      <w:r w:rsidRPr="000F5624">
        <w:t xml:space="preserve"> for taking any action on behalf of the Board </w:t>
      </w:r>
      <w:r>
        <w:t xml:space="preserve">where empowered to do so </w:t>
      </w:r>
      <w:r w:rsidRPr="000F5624">
        <w:t>after the meeting</w:t>
      </w:r>
      <w:r w:rsidR="00437E08">
        <w:t>;</w:t>
      </w:r>
    </w:p>
    <w:p w:rsidR="009C4B23" w:rsidRDefault="009C4B23" w:rsidP="009C4B23">
      <w:pPr>
        <w:pStyle w:val="ListParagraph"/>
        <w:numPr>
          <w:ilvl w:val="0"/>
          <w:numId w:val="43"/>
        </w:numPr>
        <w:spacing w:after="0"/>
      </w:pPr>
      <w:r>
        <w:t>sign the Board Report as an accurate record of the meeting</w:t>
      </w:r>
      <w:r w:rsidR="00437E08">
        <w:t>;</w:t>
      </w:r>
    </w:p>
    <w:p w:rsidR="009C4B23" w:rsidRDefault="009C4B23" w:rsidP="009C4B23">
      <w:pPr>
        <w:pStyle w:val="ListParagraph"/>
        <w:numPr>
          <w:ilvl w:val="0"/>
          <w:numId w:val="43"/>
        </w:numPr>
        <w:spacing w:after="0"/>
      </w:pPr>
      <w:r>
        <w:t>approve the minutes</w:t>
      </w:r>
      <w:r w:rsidR="00437E08">
        <w:t>.</w:t>
      </w:r>
    </w:p>
    <w:p w:rsidR="009C4B23" w:rsidRDefault="009C4B23" w:rsidP="00E35513">
      <w:pPr>
        <w:pStyle w:val="Heading3"/>
      </w:pPr>
      <w:bookmarkStart w:id="10" w:name="_Toc101346937"/>
      <w:r>
        <w:t>Secretary</w:t>
      </w:r>
      <w:bookmarkEnd w:id="10"/>
    </w:p>
    <w:p w:rsidR="009C4B23" w:rsidRPr="000F5624" w:rsidRDefault="0078414A" w:rsidP="008D20E1">
      <w:pPr>
        <w:pStyle w:val="body"/>
      </w:pPr>
      <w:r>
        <w:t xml:space="preserve">The </w:t>
      </w:r>
      <w:r w:rsidR="009C4B23" w:rsidRPr="000F5624">
        <w:t xml:space="preserve">Secretary to </w:t>
      </w:r>
      <w:r w:rsidR="009C4B23">
        <w:t xml:space="preserve">a </w:t>
      </w:r>
      <w:r w:rsidR="009C4B23" w:rsidRPr="000F5624">
        <w:t>Board</w:t>
      </w:r>
      <w:r w:rsidR="009C4B23">
        <w:t xml:space="preserve"> of Examiners</w:t>
      </w:r>
      <w:r w:rsidR="009C4B23" w:rsidRPr="000F5624">
        <w:t xml:space="preserve"> </w:t>
      </w:r>
      <w:r>
        <w:t xml:space="preserve">is </w:t>
      </w:r>
      <w:r w:rsidR="009C4B23" w:rsidRPr="000F5624">
        <w:t xml:space="preserve">a </w:t>
      </w:r>
      <w:r w:rsidR="009C4B23">
        <w:t xml:space="preserve">member of </w:t>
      </w:r>
      <w:r w:rsidR="009C4B23" w:rsidRPr="000F5624">
        <w:t xml:space="preserve">the administrative staff of the relevant </w:t>
      </w:r>
      <w:r w:rsidR="00E32775">
        <w:t>school</w:t>
      </w:r>
      <w:r w:rsidR="009C4B23" w:rsidRPr="000F5624">
        <w:t>(s)</w:t>
      </w:r>
      <w:r w:rsidR="009C4B23">
        <w:t xml:space="preserve"> with appropriate experience and an understan</w:t>
      </w:r>
      <w:r w:rsidR="00B26EAD">
        <w:t xml:space="preserve">ding of both the programme and </w:t>
      </w:r>
      <w:r w:rsidR="009C4B23">
        <w:t>Senate Regulations</w:t>
      </w:r>
      <w:r w:rsidR="009C4B23" w:rsidRPr="000F5624">
        <w:t xml:space="preserve">. </w:t>
      </w:r>
      <w:r>
        <w:t xml:space="preserve"> She/he will usually make arrangements for meetings</w:t>
      </w:r>
      <w:r w:rsidR="00DB3A05">
        <w:t xml:space="preserve">. </w:t>
      </w:r>
      <w:r>
        <w:t>The Secretary’s role also includes working with the Chair to ensure that meet</w:t>
      </w:r>
      <w:r w:rsidR="00DB3A05">
        <w:t xml:space="preserve">ings run smoothly and ensuring that </w:t>
      </w:r>
      <w:r>
        <w:t>Boards have a</w:t>
      </w:r>
      <w:r w:rsidR="00DB3A05">
        <w:t xml:space="preserve">ll the necessary documentation, and </w:t>
      </w:r>
      <w:r>
        <w:t>minutes are produced</w:t>
      </w:r>
      <w:r w:rsidR="00DB3A05">
        <w:t xml:space="preserve"> in a timely fashion.</w:t>
      </w:r>
      <w:r>
        <w:t xml:space="preserve"> </w:t>
      </w:r>
    </w:p>
    <w:p w:rsidR="009C4B23" w:rsidRDefault="009C4B23" w:rsidP="00E35513">
      <w:pPr>
        <w:pStyle w:val="Heading3"/>
      </w:pPr>
      <w:bookmarkStart w:id="11" w:name="_Toc101346938"/>
      <w:r>
        <w:t>Academic Registrar’s Representative</w:t>
      </w:r>
      <w:bookmarkEnd w:id="11"/>
    </w:p>
    <w:p w:rsidR="009C4B23" w:rsidRDefault="009C4B23" w:rsidP="009C4B23">
      <w:pPr>
        <w:spacing w:after="0"/>
      </w:pPr>
      <w:r w:rsidRPr="000F5624">
        <w:t xml:space="preserve">An Academic Registrar’s Representative is a member of </w:t>
      </w:r>
      <w:r w:rsidR="00832CEB">
        <w:t>professional services</w:t>
      </w:r>
      <w:r w:rsidRPr="000F5624">
        <w:t xml:space="preserve"> staff of the University who attends each meeting of a Board of Examiners where awards are made to students. </w:t>
      </w:r>
      <w:r>
        <w:t>Their role is to advise</w:t>
      </w:r>
      <w:r w:rsidRPr="000F5624">
        <w:t xml:space="preserve"> the Board on Senate Regulations and their interpretation, taking into account any variations approved for a particular programme, and any broader regulatory matters</w:t>
      </w:r>
      <w:r>
        <w:t>. They are also required to intervene if they believe a Board is making a decision which is not in accordance with regulations.</w:t>
      </w:r>
    </w:p>
    <w:p w:rsidR="009C4B23" w:rsidRPr="00B31A8D" w:rsidRDefault="009C4B23" w:rsidP="00E35513">
      <w:pPr>
        <w:pStyle w:val="Heading2"/>
        <w:keepNext/>
      </w:pPr>
      <w:bookmarkStart w:id="12" w:name="_Toc101346939"/>
      <w:r>
        <w:t>Documentation for Panels and Boards of Examiners</w:t>
      </w:r>
      <w:bookmarkEnd w:id="12"/>
    </w:p>
    <w:p w:rsidR="009C4B23" w:rsidRPr="000F5624" w:rsidRDefault="009C4B23" w:rsidP="00E35513">
      <w:pPr>
        <w:pStyle w:val="body"/>
        <w:keepNext/>
      </w:pPr>
      <w:r w:rsidRPr="000F5624">
        <w:t>Panels and Boards of Examiners will have the following documentation:</w:t>
      </w:r>
    </w:p>
    <w:p w:rsidR="009C4B23" w:rsidRPr="000F5624" w:rsidRDefault="00204D3A" w:rsidP="009C4B23">
      <w:pPr>
        <w:pStyle w:val="ListParagraph"/>
        <w:numPr>
          <w:ilvl w:val="0"/>
          <w:numId w:val="46"/>
        </w:numPr>
        <w:spacing w:after="0"/>
      </w:pPr>
      <w:r>
        <w:t>An agenda;</w:t>
      </w:r>
    </w:p>
    <w:p w:rsidR="009C4B23" w:rsidRPr="000F5624" w:rsidRDefault="009C4B23" w:rsidP="00E35513">
      <w:pPr>
        <w:pStyle w:val="ListParagraph"/>
        <w:numPr>
          <w:ilvl w:val="0"/>
          <w:numId w:val="46"/>
        </w:numPr>
        <w:spacing w:after="120"/>
      </w:pPr>
      <w:r w:rsidRPr="000F5624">
        <w:t>A standard dataset from SITS</w:t>
      </w:r>
      <w:r w:rsidR="0078414A">
        <w:t xml:space="preserve"> (the student records system)</w:t>
      </w:r>
      <w:r w:rsidR="00204D3A">
        <w:t>.</w:t>
      </w:r>
    </w:p>
    <w:p w:rsidR="009C4B23" w:rsidRPr="000F5624" w:rsidRDefault="009C4B23" w:rsidP="008D20E1">
      <w:pPr>
        <w:pStyle w:val="body"/>
      </w:pPr>
      <w:r w:rsidRPr="000F5624">
        <w:t>In addition,</w:t>
      </w:r>
      <w:r>
        <w:t xml:space="preserve"> the Secretary </w:t>
      </w:r>
      <w:r w:rsidRPr="000F5624">
        <w:t>should ensure that the following are available for consultation:</w:t>
      </w:r>
    </w:p>
    <w:p w:rsidR="009C4B23" w:rsidRPr="000F5624" w:rsidRDefault="009C4B23" w:rsidP="009C4B23">
      <w:pPr>
        <w:pStyle w:val="ListParagraph"/>
        <w:numPr>
          <w:ilvl w:val="0"/>
          <w:numId w:val="47"/>
        </w:numPr>
        <w:spacing w:after="0"/>
      </w:pPr>
      <w:r w:rsidRPr="000F5624">
        <w:t>Programme Specification(s)</w:t>
      </w:r>
      <w:r w:rsidR="00204D3A">
        <w:t>;</w:t>
      </w:r>
    </w:p>
    <w:p w:rsidR="009C4B23" w:rsidRPr="000F5624" w:rsidRDefault="009C4B23" w:rsidP="009C4B23">
      <w:pPr>
        <w:pStyle w:val="ListParagraph"/>
        <w:numPr>
          <w:ilvl w:val="0"/>
          <w:numId w:val="47"/>
        </w:numPr>
        <w:spacing w:after="0"/>
      </w:pPr>
      <w:r w:rsidRPr="000F5624">
        <w:lastRenderedPageBreak/>
        <w:t>Senate Regulation 5 governing undergraduate programmes of study or Senate Regulation 6 governing taught postgraduate programmes of study</w:t>
      </w:r>
      <w:r w:rsidR="00204D3A">
        <w:t>;</w:t>
      </w:r>
    </w:p>
    <w:p w:rsidR="009C4B23" w:rsidRPr="008C7C5D" w:rsidRDefault="009C4B23" w:rsidP="009C4B23">
      <w:pPr>
        <w:pStyle w:val="ListParagraph"/>
        <w:numPr>
          <w:ilvl w:val="0"/>
          <w:numId w:val="47"/>
        </w:numPr>
        <w:spacing w:after="0"/>
      </w:pPr>
      <w:r w:rsidRPr="008C7C5D">
        <w:t>Senate Regulation 7 governing the assessment of taught programmes of study</w:t>
      </w:r>
      <w:r w:rsidR="00204D3A">
        <w:t>;</w:t>
      </w:r>
    </w:p>
    <w:p w:rsidR="00B3446C" w:rsidRPr="00A162BB" w:rsidRDefault="009C4B23" w:rsidP="006420D8">
      <w:pPr>
        <w:pStyle w:val="ListParagraph"/>
        <w:numPr>
          <w:ilvl w:val="0"/>
          <w:numId w:val="47"/>
        </w:numPr>
        <w:spacing w:after="0"/>
        <w:sectPr w:rsidR="00B3446C" w:rsidRPr="00A162BB" w:rsidSect="00C65702">
          <w:headerReference w:type="default" r:id="rId13"/>
          <w:footerReference w:type="default" r:id="rId14"/>
          <w:pgSz w:w="11906" w:h="16838"/>
          <w:pgMar w:top="1440" w:right="1440" w:bottom="1440" w:left="1440" w:header="708" w:footer="708" w:gutter="0"/>
          <w:cols w:space="708"/>
          <w:docGrid w:linePitch="360"/>
        </w:sectPr>
      </w:pPr>
      <w:r w:rsidRPr="000F5624">
        <w:t>An extract from Senate Regulation 11 (student discipline) on plagiarism penalties</w:t>
      </w:r>
      <w:r w:rsidR="00204D3A">
        <w:t>.</w:t>
      </w:r>
    </w:p>
    <w:p w:rsidR="00A162BB" w:rsidRDefault="00A162BB" w:rsidP="00A378D8">
      <w:pPr>
        <w:pStyle w:val="Heading1"/>
      </w:pPr>
    </w:p>
    <w:p w:rsidR="00A162BB" w:rsidRDefault="00A162BB">
      <w:pPr>
        <w:rPr>
          <w:rFonts w:cstheme="minorHAnsi"/>
          <w:b/>
          <w:sz w:val="28"/>
          <w:szCs w:val="28"/>
        </w:rPr>
      </w:pPr>
      <w:r>
        <w:br w:type="page"/>
      </w:r>
    </w:p>
    <w:p w:rsidR="00274D34" w:rsidRPr="00D37ED1" w:rsidRDefault="00274D34" w:rsidP="00A378D8">
      <w:pPr>
        <w:pStyle w:val="Heading1"/>
      </w:pPr>
      <w:bookmarkStart w:id="13" w:name="_Toc101346940"/>
      <w:r w:rsidRPr="00D37ED1">
        <w:lastRenderedPageBreak/>
        <w:t>SECTION 2</w:t>
      </w:r>
      <w:r w:rsidR="00A378D8">
        <w:br/>
      </w:r>
      <w:r w:rsidR="00B26EAD" w:rsidRPr="00D37ED1">
        <w:t>ROLE AND RESPONSIBILITIES OF EXTERNAL EXAMINERS</w:t>
      </w:r>
      <w:bookmarkEnd w:id="13"/>
    </w:p>
    <w:p w:rsidR="0020709B" w:rsidRPr="00D37ED1" w:rsidRDefault="00415052" w:rsidP="00E35513">
      <w:pPr>
        <w:spacing w:before="240" w:after="120"/>
        <w:ind w:left="720" w:hanging="720"/>
        <w:rPr>
          <w:rFonts w:cstheme="minorHAnsi"/>
        </w:rPr>
      </w:pPr>
      <w:r w:rsidRPr="00D37ED1">
        <w:rPr>
          <w:rFonts w:cstheme="minorHAnsi"/>
        </w:rPr>
        <w:t>2.1</w:t>
      </w:r>
      <w:r w:rsidRPr="00D37ED1">
        <w:rPr>
          <w:rFonts w:cstheme="minorHAnsi"/>
        </w:rPr>
        <w:tab/>
      </w:r>
      <w:r w:rsidR="00274D34" w:rsidRPr="00D37ED1">
        <w:rPr>
          <w:rFonts w:cstheme="minorHAnsi"/>
        </w:rPr>
        <w:t xml:space="preserve">The University recognises that External Examiners </w:t>
      </w:r>
      <w:r w:rsidR="0020709B" w:rsidRPr="00D37ED1">
        <w:rPr>
          <w:rFonts w:cstheme="minorHAnsi"/>
        </w:rPr>
        <w:t>play a major role in ensuring the academic standards and awards of the University</w:t>
      </w:r>
      <w:r w:rsidR="00A427B8" w:rsidRPr="00D37ED1">
        <w:rPr>
          <w:rFonts w:cstheme="minorHAnsi"/>
        </w:rPr>
        <w:t>. Regulations relating to the appo</w:t>
      </w:r>
      <w:r w:rsidR="00AC0A4E" w:rsidRPr="00D37ED1">
        <w:rPr>
          <w:rFonts w:cstheme="minorHAnsi"/>
        </w:rPr>
        <w:t>intment and duties of ex</w:t>
      </w:r>
      <w:r w:rsidR="00D45559" w:rsidRPr="00D37ED1">
        <w:rPr>
          <w:rFonts w:cstheme="minorHAnsi"/>
        </w:rPr>
        <w:t>ternal examiners are stated</w:t>
      </w:r>
      <w:r w:rsidR="00AC0A4E" w:rsidRPr="00D37ED1">
        <w:rPr>
          <w:rFonts w:cstheme="minorHAnsi"/>
        </w:rPr>
        <w:t xml:space="preserve"> in Senate Regulation 7. A summary</w:t>
      </w:r>
      <w:r w:rsidR="00D45559" w:rsidRPr="00D37ED1">
        <w:rPr>
          <w:rFonts w:cstheme="minorHAnsi"/>
        </w:rPr>
        <w:t xml:space="preserve"> of the key responsibilities is</w:t>
      </w:r>
      <w:r w:rsidR="00AC0A4E" w:rsidRPr="00D37ED1">
        <w:rPr>
          <w:rFonts w:cstheme="minorHAnsi"/>
        </w:rPr>
        <w:t xml:space="preserve"> given below.</w:t>
      </w:r>
    </w:p>
    <w:p w:rsidR="001E29C8" w:rsidRPr="00D37ED1" w:rsidRDefault="0020709B" w:rsidP="00E35513">
      <w:pPr>
        <w:pStyle w:val="Heading2"/>
      </w:pPr>
      <w:bookmarkStart w:id="14" w:name="_Toc101346941"/>
      <w:r w:rsidRPr="00D37ED1">
        <w:t>External examining</w:t>
      </w:r>
      <w:bookmarkEnd w:id="14"/>
    </w:p>
    <w:p w:rsidR="0020709B" w:rsidRDefault="00415052" w:rsidP="00E35513">
      <w:pPr>
        <w:pStyle w:val="Default"/>
        <w:spacing w:after="120" w:line="276" w:lineRule="auto"/>
        <w:ind w:left="720" w:hanging="720"/>
        <w:rPr>
          <w:rFonts w:asciiTheme="minorHAnsi" w:hAnsiTheme="minorHAnsi" w:cstheme="minorHAnsi"/>
          <w:sz w:val="22"/>
          <w:szCs w:val="22"/>
        </w:rPr>
      </w:pPr>
      <w:r w:rsidRPr="00D37ED1">
        <w:rPr>
          <w:rFonts w:asciiTheme="minorHAnsi" w:hAnsiTheme="minorHAnsi" w:cstheme="minorHAnsi"/>
          <w:sz w:val="22"/>
          <w:szCs w:val="22"/>
        </w:rPr>
        <w:t>2.2</w:t>
      </w:r>
      <w:r w:rsidRPr="00D37ED1">
        <w:rPr>
          <w:rFonts w:asciiTheme="minorHAnsi" w:hAnsiTheme="minorHAnsi" w:cstheme="minorHAnsi"/>
          <w:sz w:val="22"/>
          <w:szCs w:val="22"/>
        </w:rPr>
        <w:tab/>
      </w:r>
      <w:r w:rsidR="0020709B" w:rsidRPr="00D37ED1">
        <w:rPr>
          <w:rFonts w:asciiTheme="minorHAnsi" w:hAnsiTheme="minorHAnsi" w:cstheme="minorHAnsi"/>
          <w:sz w:val="22"/>
          <w:szCs w:val="22"/>
        </w:rPr>
        <w:t xml:space="preserve">External examiners are appointed to provide impartial and independent advice and informed comment on the University’s standards and student achievement in relation to those standards. </w:t>
      </w:r>
    </w:p>
    <w:p w:rsidR="00832CEB" w:rsidRPr="00D37ED1" w:rsidRDefault="00EA1B89" w:rsidP="00E35513">
      <w:pPr>
        <w:pStyle w:val="Default"/>
        <w:spacing w:after="120" w:line="276" w:lineRule="auto"/>
        <w:ind w:left="720" w:hanging="720"/>
        <w:rPr>
          <w:rFonts w:asciiTheme="minorHAnsi" w:hAnsiTheme="minorHAnsi" w:cstheme="minorHAnsi"/>
          <w:sz w:val="22"/>
          <w:szCs w:val="22"/>
        </w:rPr>
      </w:pPr>
      <w:r>
        <w:rPr>
          <w:rFonts w:asciiTheme="minorHAnsi" w:hAnsiTheme="minorHAnsi" w:cstheme="minorHAnsi"/>
          <w:sz w:val="22"/>
          <w:szCs w:val="22"/>
        </w:rPr>
        <w:t>2.3</w:t>
      </w:r>
      <w:r w:rsidR="00832CEB">
        <w:rPr>
          <w:rFonts w:asciiTheme="minorHAnsi" w:hAnsiTheme="minorHAnsi" w:cstheme="minorHAnsi"/>
          <w:sz w:val="22"/>
          <w:szCs w:val="22"/>
        </w:rPr>
        <w:tab/>
        <w:t>External Examiners are appointed for a period of four years in most cases and are required to give a period of 3 months’ notice if they wish to resign for any reason during their period of service.</w:t>
      </w:r>
    </w:p>
    <w:p w:rsidR="0020709B" w:rsidRPr="00D37ED1" w:rsidRDefault="00EA1B89" w:rsidP="00E35513">
      <w:pPr>
        <w:pStyle w:val="Default"/>
        <w:spacing w:after="120" w:line="276" w:lineRule="auto"/>
        <w:ind w:left="720" w:hanging="720"/>
        <w:rPr>
          <w:rFonts w:asciiTheme="minorHAnsi" w:hAnsiTheme="minorHAnsi" w:cstheme="minorHAnsi"/>
          <w:sz w:val="22"/>
          <w:szCs w:val="22"/>
        </w:rPr>
      </w:pPr>
      <w:r>
        <w:rPr>
          <w:rFonts w:asciiTheme="minorHAnsi" w:hAnsiTheme="minorHAnsi" w:cstheme="minorHAnsi"/>
          <w:sz w:val="22"/>
          <w:szCs w:val="22"/>
        </w:rPr>
        <w:t>2.4</w:t>
      </w:r>
      <w:r w:rsidR="00415052" w:rsidRPr="00D37ED1">
        <w:rPr>
          <w:rFonts w:asciiTheme="minorHAnsi" w:hAnsiTheme="minorHAnsi" w:cstheme="minorHAnsi"/>
          <w:sz w:val="22"/>
          <w:szCs w:val="22"/>
        </w:rPr>
        <w:tab/>
      </w:r>
      <w:r w:rsidR="00AC0A4E" w:rsidRPr="00D37ED1">
        <w:rPr>
          <w:rFonts w:asciiTheme="minorHAnsi" w:hAnsiTheme="minorHAnsi" w:cstheme="minorHAnsi"/>
          <w:sz w:val="22"/>
          <w:szCs w:val="22"/>
        </w:rPr>
        <w:t>F</w:t>
      </w:r>
      <w:r w:rsidR="0020709B" w:rsidRPr="00D37ED1">
        <w:rPr>
          <w:rFonts w:asciiTheme="minorHAnsi" w:hAnsiTheme="minorHAnsi" w:cstheme="minorHAnsi"/>
          <w:sz w:val="22"/>
          <w:szCs w:val="22"/>
        </w:rPr>
        <w:t>or each award-bearing programme, including for the award of credit</w:t>
      </w:r>
      <w:r w:rsidR="00D45559" w:rsidRPr="00D37ED1">
        <w:rPr>
          <w:rFonts w:asciiTheme="minorHAnsi" w:hAnsiTheme="minorHAnsi" w:cstheme="minorHAnsi"/>
          <w:sz w:val="22"/>
          <w:szCs w:val="22"/>
        </w:rPr>
        <w:t>,</w:t>
      </w:r>
      <w:r w:rsidR="00AC0A4E" w:rsidRPr="00D37ED1">
        <w:rPr>
          <w:rFonts w:asciiTheme="minorHAnsi" w:hAnsiTheme="minorHAnsi" w:cstheme="minorHAnsi"/>
          <w:sz w:val="22"/>
          <w:szCs w:val="22"/>
        </w:rPr>
        <w:t xml:space="preserve"> the University appoints at least one</w:t>
      </w:r>
      <w:r w:rsidR="00DC4C66">
        <w:rPr>
          <w:rFonts w:asciiTheme="minorHAnsi" w:hAnsiTheme="minorHAnsi" w:cstheme="minorHAnsi"/>
          <w:sz w:val="22"/>
          <w:szCs w:val="22"/>
        </w:rPr>
        <w:t xml:space="preserve"> external</w:t>
      </w:r>
      <w:r w:rsidR="00AC0A4E" w:rsidRPr="00D37ED1">
        <w:rPr>
          <w:rFonts w:asciiTheme="minorHAnsi" w:hAnsiTheme="minorHAnsi" w:cstheme="minorHAnsi"/>
          <w:sz w:val="22"/>
          <w:szCs w:val="22"/>
        </w:rPr>
        <w:t xml:space="preserve"> examiner, including for awards </w:t>
      </w:r>
      <w:r w:rsidR="0020709B" w:rsidRPr="00D37ED1">
        <w:rPr>
          <w:rFonts w:asciiTheme="minorHAnsi" w:hAnsiTheme="minorHAnsi" w:cstheme="minorHAnsi"/>
          <w:sz w:val="22"/>
          <w:szCs w:val="22"/>
        </w:rPr>
        <w:t xml:space="preserve">made with or through a partner institution. An external examiner may be appointed for several related programmes. </w:t>
      </w:r>
    </w:p>
    <w:p w:rsidR="0020709B" w:rsidRPr="00D37ED1" w:rsidRDefault="00EA1B89" w:rsidP="00E35513">
      <w:pPr>
        <w:pStyle w:val="Default"/>
        <w:spacing w:after="120" w:line="276" w:lineRule="auto"/>
        <w:ind w:left="720" w:hanging="720"/>
        <w:rPr>
          <w:rFonts w:asciiTheme="minorHAnsi" w:hAnsiTheme="minorHAnsi" w:cstheme="minorHAnsi"/>
          <w:sz w:val="22"/>
          <w:szCs w:val="22"/>
        </w:rPr>
      </w:pPr>
      <w:r>
        <w:rPr>
          <w:rFonts w:asciiTheme="minorHAnsi" w:hAnsiTheme="minorHAnsi" w:cstheme="minorHAnsi"/>
          <w:sz w:val="22"/>
          <w:szCs w:val="22"/>
        </w:rPr>
        <w:t>2.5</w:t>
      </w:r>
      <w:r w:rsidR="00415052" w:rsidRPr="00D37ED1">
        <w:rPr>
          <w:rFonts w:asciiTheme="minorHAnsi" w:hAnsiTheme="minorHAnsi" w:cstheme="minorHAnsi"/>
          <w:sz w:val="22"/>
          <w:szCs w:val="22"/>
        </w:rPr>
        <w:tab/>
      </w:r>
      <w:r w:rsidR="0020709B" w:rsidRPr="00D37ED1">
        <w:rPr>
          <w:rFonts w:asciiTheme="minorHAnsi" w:hAnsiTheme="minorHAnsi" w:cstheme="minorHAnsi"/>
          <w:sz w:val="22"/>
          <w:szCs w:val="22"/>
        </w:rPr>
        <w:t xml:space="preserve">The </w:t>
      </w:r>
      <w:r w:rsidR="00AC0A4E" w:rsidRPr="00D37ED1">
        <w:rPr>
          <w:rFonts w:asciiTheme="minorHAnsi" w:hAnsiTheme="minorHAnsi" w:cstheme="minorHAnsi"/>
          <w:sz w:val="22"/>
          <w:szCs w:val="22"/>
        </w:rPr>
        <w:t>University appoint</w:t>
      </w:r>
      <w:r w:rsidR="00D45559" w:rsidRPr="00D37ED1">
        <w:rPr>
          <w:rFonts w:asciiTheme="minorHAnsi" w:hAnsiTheme="minorHAnsi" w:cstheme="minorHAnsi"/>
          <w:sz w:val="22"/>
          <w:szCs w:val="22"/>
        </w:rPr>
        <w:t>s</w:t>
      </w:r>
      <w:r w:rsidR="00AC0A4E" w:rsidRPr="00D37ED1">
        <w:rPr>
          <w:rFonts w:asciiTheme="minorHAnsi" w:hAnsiTheme="minorHAnsi" w:cstheme="minorHAnsi"/>
          <w:sz w:val="22"/>
          <w:szCs w:val="22"/>
        </w:rPr>
        <w:t xml:space="preserve"> sufficient examiners for a particular programme </w:t>
      </w:r>
      <w:r w:rsidR="0020709B" w:rsidRPr="00D37ED1">
        <w:rPr>
          <w:rFonts w:asciiTheme="minorHAnsi" w:hAnsiTheme="minorHAnsi" w:cstheme="minorHAnsi"/>
          <w:sz w:val="22"/>
          <w:szCs w:val="22"/>
        </w:rPr>
        <w:t xml:space="preserve">to cover the full range and complexity of the syllabus and the size of the student cohort. </w:t>
      </w:r>
    </w:p>
    <w:p w:rsidR="0020709B" w:rsidRPr="00D37ED1" w:rsidRDefault="00832CEB" w:rsidP="00E35513">
      <w:pPr>
        <w:pStyle w:val="Default"/>
        <w:spacing w:after="120" w:line="276" w:lineRule="auto"/>
        <w:ind w:left="720" w:hanging="720"/>
        <w:rPr>
          <w:rFonts w:asciiTheme="minorHAnsi" w:hAnsiTheme="minorHAnsi" w:cstheme="minorHAnsi"/>
          <w:sz w:val="22"/>
          <w:szCs w:val="22"/>
        </w:rPr>
      </w:pPr>
      <w:r>
        <w:rPr>
          <w:rFonts w:asciiTheme="minorHAnsi" w:hAnsiTheme="minorHAnsi" w:cstheme="minorHAnsi"/>
          <w:sz w:val="22"/>
          <w:szCs w:val="22"/>
        </w:rPr>
        <w:t>2.</w:t>
      </w:r>
      <w:r w:rsidR="00EA1B89">
        <w:rPr>
          <w:rFonts w:asciiTheme="minorHAnsi" w:hAnsiTheme="minorHAnsi" w:cstheme="minorHAnsi"/>
          <w:sz w:val="22"/>
          <w:szCs w:val="22"/>
        </w:rPr>
        <w:t>6</w:t>
      </w:r>
      <w:r w:rsidR="00415052" w:rsidRPr="00D37ED1">
        <w:rPr>
          <w:rFonts w:asciiTheme="minorHAnsi" w:hAnsiTheme="minorHAnsi" w:cstheme="minorHAnsi"/>
          <w:sz w:val="22"/>
          <w:szCs w:val="22"/>
        </w:rPr>
        <w:tab/>
      </w:r>
      <w:r w:rsidR="0020709B" w:rsidRPr="00D37ED1">
        <w:rPr>
          <w:rFonts w:asciiTheme="minorHAnsi" w:hAnsiTheme="minorHAnsi" w:cstheme="minorHAnsi"/>
          <w:sz w:val="22"/>
          <w:szCs w:val="22"/>
        </w:rPr>
        <w:t>For awards resulting from study both on campus and by distance learning, the</w:t>
      </w:r>
      <w:r w:rsidR="00AC0A4E" w:rsidRPr="00D37ED1">
        <w:rPr>
          <w:rFonts w:asciiTheme="minorHAnsi" w:hAnsiTheme="minorHAnsi" w:cstheme="minorHAnsi"/>
          <w:sz w:val="22"/>
          <w:szCs w:val="22"/>
        </w:rPr>
        <w:t xml:space="preserve"> University will ensure that</w:t>
      </w:r>
      <w:r w:rsidR="0020709B" w:rsidRPr="00D37ED1">
        <w:rPr>
          <w:rFonts w:asciiTheme="minorHAnsi" w:hAnsiTheme="minorHAnsi" w:cstheme="minorHAnsi"/>
          <w:sz w:val="22"/>
          <w:szCs w:val="22"/>
        </w:rPr>
        <w:t xml:space="preserve"> external examining arrangements </w:t>
      </w:r>
      <w:r w:rsidR="00415052" w:rsidRPr="00D37ED1">
        <w:rPr>
          <w:rFonts w:asciiTheme="minorHAnsi" w:hAnsiTheme="minorHAnsi" w:cstheme="minorHAnsi"/>
          <w:sz w:val="22"/>
          <w:szCs w:val="22"/>
        </w:rPr>
        <w:t xml:space="preserve">enable </w:t>
      </w:r>
      <w:r w:rsidR="0020709B" w:rsidRPr="00D37ED1">
        <w:rPr>
          <w:rFonts w:asciiTheme="minorHAnsi" w:hAnsiTheme="minorHAnsi" w:cstheme="minorHAnsi"/>
          <w:sz w:val="22"/>
          <w:szCs w:val="22"/>
        </w:rPr>
        <w:t xml:space="preserve">the Board of Examiners to make judgements about the comparability of </w:t>
      </w:r>
      <w:r w:rsidR="00AC0A4E" w:rsidRPr="00D37ED1">
        <w:rPr>
          <w:rFonts w:asciiTheme="minorHAnsi" w:hAnsiTheme="minorHAnsi" w:cstheme="minorHAnsi"/>
          <w:sz w:val="22"/>
          <w:szCs w:val="22"/>
        </w:rPr>
        <w:t xml:space="preserve">standards across both </w:t>
      </w:r>
      <w:r w:rsidR="008D20E1" w:rsidRPr="00D37ED1">
        <w:rPr>
          <w:rFonts w:asciiTheme="minorHAnsi" w:hAnsiTheme="minorHAnsi" w:cstheme="minorHAnsi"/>
          <w:sz w:val="22"/>
          <w:szCs w:val="22"/>
        </w:rPr>
        <w:t>cohorts.</w:t>
      </w:r>
    </w:p>
    <w:p w:rsidR="00943E5B" w:rsidRPr="00D37ED1" w:rsidRDefault="00943E5B" w:rsidP="00E35513">
      <w:pPr>
        <w:pStyle w:val="Heading2"/>
      </w:pPr>
      <w:bookmarkStart w:id="15" w:name="_Toc101346942"/>
      <w:r w:rsidRPr="00D37ED1">
        <w:t>Role and responsibilities</w:t>
      </w:r>
      <w:bookmarkEnd w:id="15"/>
      <w:r w:rsidRPr="00D37ED1">
        <w:t xml:space="preserve"> </w:t>
      </w:r>
    </w:p>
    <w:p w:rsidR="00943E5B" w:rsidRPr="00D37ED1" w:rsidRDefault="00EA1B89" w:rsidP="00E35513">
      <w:pPr>
        <w:pStyle w:val="Default"/>
        <w:spacing w:after="120" w:line="276" w:lineRule="auto"/>
        <w:ind w:left="720" w:hanging="720"/>
        <w:rPr>
          <w:rFonts w:asciiTheme="minorHAnsi" w:hAnsiTheme="minorHAnsi" w:cstheme="minorHAnsi"/>
          <w:sz w:val="22"/>
          <w:szCs w:val="22"/>
        </w:rPr>
      </w:pPr>
      <w:r>
        <w:rPr>
          <w:rFonts w:asciiTheme="minorHAnsi" w:hAnsiTheme="minorHAnsi" w:cstheme="minorHAnsi"/>
          <w:sz w:val="22"/>
          <w:szCs w:val="22"/>
        </w:rPr>
        <w:t>2.7</w:t>
      </w:r>
      <w:r w:rsidR="00415052" w:rsidRPr="00D37ED1">
        <w:rPr>
          <w:rFonts w:asciiTheme="minorHAnsi" w:hAnsiTheme="minorHAnsi" w:cstheme="minorHAnsi"/>
          <w:sz w:val="22"/>
          <w:szCs w:val="22"/>
        </w:rPr>
        <w:tab/>
      </w:r>
      <w:r w:rsidR="00E116EE" w:rsidRPr="00D37ED1">
        <w:rPr>
          <w:rFonts w:asciiTheme="minorHAnsi" w:hAnsiTheme="minorHAnsi" w:cstheme="minorHAnsi"/>
          <w:sz w:val="22"/>
          <w:szCs w:val="22"/>
        </w:rPr>
        <w:t>I</w:t>
      </w:r>
      <w:r w:rsidR="00F92E7C">
        <w:rPr>
          <w:rFonts w:asciiTheme="minorHAnsi" w:hAnsiTheme="minorHAnsi" w:cstheme="minorHAnsi"/>
          <w:sz w:val="22"/>
          <w:szCs w:val="22"/>
        </w:rPr>
        <w:t xml:space="preserve">n accordance with </w:t>
      </w:r>
      <w:r w:rsidR="00E116EE" w:rsidRPr="00D37ED1">
        <w:rPr>
          <w:rFonts w:asciiTheme="minorHAnsi" w:hAnsiTheme="minorHAnsi" w:cstheme="minorHAnsi"/>
          <w:sz w:val="22"/>
          <w:szCs w:val="22"/>
        </w:rPr>
        <w:t xml:space="preserve">the UK Quality Code for </w:t>
      </w:r>
      <w:r w:rsidR="00415052" w:rsidRPr="00D37ED1">
        <w:rPr>
          <w:rFonts w:asciiTheme="minorHAnsi" w:hAnsiTheme="minorHAnsi" w:cstheme="minorHAnsi"/>
          <w:sz w:val="22"/>
          <w:szCs w:val="22"/>
        </w:rPr>
        <w:t xml:space="preserve">Higher Education you will be asked by the University </w:t>
      </w:r>
      <w:r w:rsidR="00943E5B" w:rsidRPr="00D37ED1">
        <w:rPr>
          <w:rFonts w:asciiTheme="minorHAnsi" w:hAnsiTheme="minorHAnsi" w:cstheme="minorHAnsi"/>
          <w:sz w:val="22"/>
          <w:szCs w:val="22"/>
        </w:rPr>
        <w:t xml:space="preserve">to provide informative comment and recommendations upon whether or not: </w:t>
      </w:r>
    </w:p>
    <w:p w:rsidR="00943E5B" w:rsidRPr="00D37ED1" w:rsidRDefault="00943E5B" w:rsidP="00E35513">
      <w:pPr>
        <w:pStyle w:val="Default"/>
        <w:numPr>
          <w:ilvl w:val="0"/>
          <w:numId w:val="39"/>
        </w:numPr>
        <w:tabs>
          <w:tab w:val="left" w:pos="1134"/>
        </w:tabs>
        <w:spacing w:after="120" w:line="276" w:lineRule="auto"/>
        <w:rPr>
          <w:rFonts w:asciiTheme="minorHAnsi" w:hAnsiTheme="minorHAnsi" w:cstheme="minorHAnsi"/>
          <w:sz w:val="22"/>
          <w:szCs w:val="22"/>
        </w:rPr>
      </w:pPr>
      <w:r w:rsidRPr="00D37ED1">
        <w:rPr>
          <w:rFonts w:asciiTheme="minorHAnsi" w:hAnsiTheme="minorHAnsi" w:cstheme="minorHAnsi"/>
          <w:sz w:val="22"/>
          <w:szCs w:val="22"/>
        </w:rPr>
        <w:t xml:space="preserve">the University is maintaining the threshold academic standards for its awards in accordance with the framework for higher education qualifications and relevant subject benchmark statements; </w:t>
      </w:r>
    </w:p>
    <w:p w:rsidR="00943E5B" w:rsidRPr="00D37ED1" w:rsidRDefault="00943E5B" w:rsidP="00E35513">
      <w:pPr>
        <w:pStyle w:val="Default"/>
        <w:tabs>
          <w:tab w:val="left" w:pos="1134"/>
        </w:tabs>
        <w:spacing w:after="120" w:line="276" w:lineRule="auto"/>
        <w:ind w:left="1080" w:hanging="360"/>
        <w:rPr>
          <w:rFonts w:asciiTheme="minorHAnsi" w:hAnsiTheme="minorHAnsi" w:cstheme="minorHAnsi"/>
          <w:sz w:val="22"/>
          <w:szCs w:val="22"/>
        </w:rPr>
      </w:pPr>
      <w:r w:rsidRPr="00D37ED1">
        <w:rPr>
          <w:rFonts w:asciiTheme="minorHAnsi" w:hAnsiTheme="minorHAnsi" w:cstheme="minorHAnsi"/>
          <w:sz w:val="22"/>
          <w:szCs w:val="22"/>
        </w:rPr>
        <w:t xml:space="preserve">• </w:t>
      </w:r>
      <w:r w:rsidR="00BC0192">
        <w:rPr>
          <w:rFonts w:asciiTheme="minorHAnsi" w:hAnsiTheme="minorHAnsi" w:cstheme="minorHAnsi"/>
          <w:sz w:val="22"/>
          <w:szCs w:val="22"/>
        </w:rPr>
        <w:tab/>
      </w:r>
      <w:r w:rsidRPr="00D37ED1">
        <w:rPr>
          <w:rFonts w:asciiTheme="minorHAnsi" w:hAnsiTheme="minorHAnsi" w:cstheme="minorHAnsi"/>
          <w:sz w:val="22"/>
          <w:szCs w:val="22"/>
        </w:rPr>
        <w:t>the assessment process measures student achievement rigorously and fairly against intended outcomes of the programme(s) and is conducted in line with the Univers</w:t>
      </w:r>
      <w:r w:rsidR="00415052" w:rsidRPr="00D37ED1">
        <w:rPr>
          <w:rFonts w:asciiTheme="minorHAnsi" w:hAnsiTheme="minorHAnsi" w:cstheme="minorHAnsi"/>
          <w:sz w:val="22"/>
          <w:szCs w:val="22"/>
        </w:rPr>
        <w:t>ity’s policies and regulations;</w:t>
      </w:r>
    </w:p>
    <w:p w:rsidR="00943E5B" w:rsidRPr="00D37ED1" w:rsidRDefault="00943E5B" w:rsidP="00E35513">
      <w:pPr>
        <w:pStyle w:val="Default"/>
        <w:numPr>
          <w:ilvl w:val="0"/>
          <w:numId w:val="39"/>
        </w:numPr>
        <w:tabs>
          <w:tab w:val="left" w:pos="1134"/>
        </w:tabs>
        <w:spacing w:after="120" w:line="276" w:lineRule="auto"/>
        <w:rPr>
          <w:rFonts w:asciiTheme="minorHAnsi" w:hAnsiTheme="minorHAnsi" w:cstheme="minorHAnsi"/>
          <w:sz w:val="22"/>
          <w:szCs w:val="22"/>
        </w:rPr>
      </w:pPr>
      <w:r w:rsidRPr="00D37ED1">
        <w:rPr>
          <w:rFonts w:asciiTheme="minorHAnsi" w:hAnsiTheme="minorHAnsi" w:cstheme="minorHAnsi"/>
          <w:sz w:val="22"/>
          <w:szCs w:val="22"/>
        </w:rPr>
        <w:t>the academic standards and the achievement of students are comparable with those in other higher education institutions of which the external examiners have experience.</w:t>
      </w:r>
    </w:p>
    <w:p w:rsidR="00F757E6" w:rsidRPr="00D37ED1" w:rsidRDefault="00EA1B89" w:rsidP="00E35513">
      <w:pPr>
        <w:pStyle w:val="Default"/>
        <w:spacing w:after="120" w:line="276" w:lineRule="auto"/>
        <w:rPr>
          <w:rFonts w:asciiTheme="minorHAnsi" w:hAnsiTheme="minorHAnsi" w:cstheme="minorHAnsi"/>
          <w:sz w:val="22"/>
          <w:szCs w:val="22"/>
        </w:rPr>
      </w:pPr>
      <w:r>
        <w:rPr>
          <w:rFonts w:asciiTheme="minorHAnsi" w:hAnsiTheme="minorHAnsi" w:cstheme="minorHAnsi"/>
          <w:sz w:val="22"/>
          <w:szCs w:val="22"/>
        </w:rPr>
        <w:t>2.8</w:t>
      </w:r>
      <w:r w:rsidR="00F757E6" w:rsidRPr="00D37ED1">
        <w:rPr>
          <w:rFonts w:asciiTheme="minorHAnsi" w:hAnsiTheme="minorHAnsi" w:cstheme="minorHAnsi"/>
          <w:sz w:val="22"/>
          <w:szCs w:val="22"/>
        </w:rPr>
        <w:tab/>
        <w:t>As an external examiner you will also:</w:t>
      </w:r>
    </w:p>
    <w:p w:rsidR="00943E5B" w:rsidRPr="00D37ED1" w:rsidRDefault="00415052" w:rsidP="00E35513">
      <w:pPr>
        <w:pStyle w:val="Default"/>
        <w:numPr>
          <w:ilvl w:val="0"/>
          <w:numId w:val="35"/>
        </w:numPr>
        <w:spacing w:after="120" w:line="276" w:lineRule="auto"/>
        <w:rPr>
          <w:rFonts w:asciiTheme="minorHAnsi" w:hAnsiTheme="minorHAnsi" w:cstheme="minorHAnsi"/>
          <w:sz w:val="22"/>
          <w:szCs w:val="22"/>
        </w:rPr>
      </w:pPr>
      <w:r w:rsidRPr="00D37ED1">
        <w:rPr>
          <w:rFonts w:asciiTheme="minorHAnsi" w:hAnsiTheme="minorHAnsi" w:cstheme="minorHAnsi"/>
          <w:sz w:val="22"/>
          <w:szCs w:val="22"/>
        </w:rPr>
        <w:t>be</w:t>
      </w:r>
      <w:r w:rsidR="00E116EE" w:rsidRPr="00D37ED1">
        <w:rPr>
          <w:rFonts w:asciiTheme="minorHAnsi" w:hAnsiTheme="minorHAnsi" w:cstheme="minorHAnsi"/>
          <w:sz w:val="22"/>
          <w:szCs w:val="22"/>
        </w:rPr>
        <w:t xml:space="preserve"> </w:t>
      </w:r>
      <w:r w:rsidR="00943E5B" w:rsidRPr="00D37ED1">
        <w:rPr>
          <w:rFonts w:asciiTheme="minorHAnsi" w:hAnsiTheme="minorHAnsi" w:cstheme="minorHAnsi"/>
          <w:sz w:val="22"/>
          <w:szCs w:val="22"/>
        </w:rPr>
        <w:t xml:space="preserve">asked to identify areas of good practice or opportunities to enhance the quality of the learning opportunities provided to students. </w:t>
      </w:r>
    </w:p>
    <w:p w:rsidR="00943E5B" w:rsidRPr="00D37ED1" w:rsidRDefault="00943E5B" w:rsidP="00E35513">
      <w:pPr>
        <w:pStyle w:val="Default"/>
        <w:numPr>
          <w:ilvl w:val="0"/>
          <w:numId w:val="36"/>
        </w:numPr>
        <w:spacing w:after="120" w:line="276" w:lineRule="auto"/>
        <w:rPr>
          <w:rFonts w:asciiTheme="minorHAnsi" w:hAnsiTheme="minorHAnsi" w:cstheme="minorHAnsi"/>
          <w:sz w:val="22"/>
          <w:szCs w:val="22"/>
        </w:rPr>
      </w:pPr>
      <w:r w:rsidRPr="00D37ED1">
        <w:rPr>
          <w:rFonts w:asciiTheme="minorHAnsi" w:hAnsiTheme="minorHAnsi" w:cstheme="minorHAnsi"/>
          <w:sz w:val="22"/>
          <w:szCs w:val="22"/>
        </w:rPr>
        <w:lastRenderedPageBreak/>
        <w:t>report on standards at b</w:t>
      </w:r>
      <w:r w:rsidR="00415052" w:rsidRPr="00D37ED1">
        <w:rPr>
          <w:rFonts w:asciiTheme="minorHAnsi" w:hAnsiTheme="minorHAnsi" w:cstheme="minorHAnsi"/>
          <w:sz w:val="22"/>
          <w:szCs w:val="22"/>
        </w:rPr>
        <w:t xml:space="preserve">oth the module and award level </w:t>
      </w:r>
    </w:p>
    <w:p w:rsidR="00C336A6" w:rsidRPr="008D20E1" w:rsidRDefault="00C336A6" w:rsidP="00C336A6">
      <w:pPr>
        <w:pStyle w:val="Default"/>
        <w:numPr>
          <w:ilvl w:val="0"/>
          <w:numId w:val="36"/>
        </w:numPr>
        <w:spacing w:after="120" w:line="276" w:lineRule="auto"/>
        <w:rPr>
          <w:rFonts w:asciiTheme="minorHAnsi" w:hAnsiTheme="minorHAnsi" w:cstheme="minorHAnsi"/>
          <w:sz w:val="22"/>
          <w:szCs w:val="22"/>
        </w:rPr>
      </w:pPr>
      <w:r w:rsidRPr="008D20E1">
        <w:rPr>
          <w:rFonts w:asciiTheme="minorHAnsi" w:hAnsiTheme="minorHAnsi" w:cstheme="minorHAnsi"/>
          <w:sz w:val="22"/>
          <w:szCs w:val="22"/>
        </w:rPr>
        <w:t xml:space="preserve">have the opportunity to consider samples of students’ assessed work, together with marks agreed by the internal markers.  You should receive sufficient material from the </w:t>
      </w:r>
      <w:r w:rsidR="00E32775">
        <w:rPr>
          <w:rFonts w:asciiTheme="minorHAnsi" w:hAnsiTheme="minorHAnsi" w:cstheme="minorHAnsi"/>
          <w:sz w:val="22"/>
          <w:szCs w:val="22"/>
        </w:rPr>
        <w:t>School</w:t>
      </w:r>
      <w:r w:rsidRPr="008D20E1">
        <w:rPr>
          <w:rFonts w:asciiTheme="minorHAnsi" w:hAnsiTheme="minorHAnsi" w:cstheme="minorHAnsi"/>
          <w:sz w:val="22"/>
          <w:szCs w:val="22"/>
        </w:rPr>
        <w:t xml:space="preserve"> to form a view as to whether the internal marking has properly assessed student performance against appropriate standards. You should normally receive 10% of the pieces of assessment with a sample across th</w:t>
      </w:r>
      <w:r>
        <w:rPr>
          <w:rFonts w:asciiTheme="minorHAnsi" w:hAnsiTheme="minorHAnsi" w:cstheme="minorHAnsi"/>
          <w:sz w:val="22"/>
          <w:szCs w:val="22"/>
        </w:rPr>
        <w:t>e range of student achievement but may request that this is varied, particularly if the number of students registered on a programme is such that you would be unable to form a judgement from a 10% sample.</w:t>
      </w:r>
    </w:p>
    <w:p w:rsidR="00C336A6" w:rsidRPr="00D37ED1" w:rsidRDefault="00C336A6" w:rsidP="00C336A6">
      <w:pPr>
        <w:pStyle w:val="Default"/>
        <w:numPr>
          <w:ilvl w:val="0"/>
          <w:numId w:val="36"/>
        </w:numPr>
        <w:spacing w:after="120" w:line="276" w:lineRule="auto"/>
        <w:rPr>
          <w:rFonts w:asciiTheme="minorHAnsi" w:hAnsiTheme="minorHAnsi" w:cstheme="minorHAnsi"/>
          <w:sz w:val="22"/>
          <w:szCs w:val="22"/>
        </w:rPr>
      </w:pPr>
      <w:r w:rsidRPr="00D37ED1">
        <w:rPr>
          <w:rFonts w:asciiTheme="minorHAnsi" w:hAnsiTheme="minorHAnsi" w:cstheme="minorHAnsi"/>
          <w:sz w:val="22"/>
          <w:szCs w:val="22"/>
        </w:rPr>
        <w:t xml:space="preserve">be consulted about access to non-written assessment and attendance at any live assessment events and may be required to access student performance during assessed school experience, clinical or other work-placement, irrespective of location. </w:t>
      </w:r>
    </w:p>
    <w:p w:rsidR="00C336A6" w:rsidRPr="00D37ED1" w:rsidRDefault="00C336A6" w:rsidP="00C336A6">
      <w:pPr>
        <w:pStyle w:val="Default"/>
        <w:numPr>
          <w:ilvl w:val="0"/>
          <w:numId w:val="36"/>
        </w:numPr>
        <w:spacing w:after="120" w:line="276" w:lineRule="auto"/>
        <w:rPr>
          <w:rFonts w:asciiTheme="minorHAnsi" w:hAnsiTheme="minorHAnsi" w:cstheme="minorHAnsi"/>
          <w:sz w:val="22"/>
          <w:szCs w:val="22"/>
        </w:rPr>
      </w:pPr>
      <w:r w:rsidRPr="00D37ED1">
        <w:rPr>
          <w:rFonts w:asciiTheme="minorHAnsi" w:hAnsiTheme="minorHAnsi" w:cstheme="minorHAnsi"/>
          <w:sz w:val="22"/>
          <w:szCs w:val="22"/>
        </w:rPr>
        <w:t xml:space="preserve">be an equal member of a Board of Examiners and participate in the transaction of the Board’s business. </w:t>
      </w:r>
    </w:p>
    <w:p w:rsidR="00C336A6" w:rsidRPr="00D37ED1" w:rsidRDefault="00EA1B89" w:rsidP="00C336A6">
      <w:pPr>
        <w:pStyle w:val="Default"/>
        <w:spacing w:after="21" w:line="276" w:lineRule="auto"/>
        <w:ind w:left="720" w:hanging="720"/>
        <w:rPr>
          <w:rFonts w:asciiTheme="minorHAnsi" w:hAnsiTheme="minorHAnsi" w:cstheme="minorHAnsi"/>
          <w:sz w:val="22"/>
          <w:szCs w:val="22"/>
        </w:rPr>
      </w:pPr>
      <w:r>
        <w:rPr>
          <w:rFonts w:asciiTheme="minorHAnsi" w:hAnsiTheme="minorHAnsi" w:cstheme="minorHAnsi"/>
          <w:sz w:val="22"/>
          <w:szCs w:val="22"/>
        </w:rPr>
        <w:t>2.9</w:t>
      </w:r>
      <w:r w:rsidR="00C336A6" w:rsidRPr="00D37ED1">
        <w:rPr>
          <w:rFonts w:asciiTheme="minorHAnsi" w:hAnsiTheme="minorHAnsi" w:cstheme="minorHAnsi"/>
          <w:sz w:val="22"/>
          <w:szCs w:val="22"/>
        </w:rPr>
        <w:tab/>
        <w:t xml:space="preserve">As an external examiner you will not be involved in the assessment or examination of the work of individual students and will not be the final arbiter for the award of marks/grades either within a module or for the final award. You will be invited to comment on the standard of marking against the written criteria but may not seek, or be invited, to raise or lower the marks assigned to individual students. You may, however, ask for marks to be revisited by the internal markers against the written criteria across a full cohort if you consider that there is sufficient evidence to support under- or over-marking, or if you have concerns about the robustness of marking. </w:t>
      </w:r>
    </w:p>
    <w:p w:rsidR="00C336A6" w:rsidRDefault="00C336A6" w:rsidP="00C336A6">
      <w:pPr>
        <w:pStyle w:val="Default"/>
        <w:spacing w:after="21"/>
        <w:rPr>
          <w:rFonts w:asciiTheme="minorHAnsi" w:hAnsiTheme="minorHAnsi" w:cstheme="minorHAnsi"/>
          <w:sz w:val="22"/>
          <w:szCs w:val="22"/>
        </w:rPr>
      </w:pPr>
      <w:r>
        <w:rPr>
          <w:rFonts w:asciiTheme="minorHAnsi" w:hAnsiTheme="minorHAnsi" w:cstheme="minorHAnsi"/>
          <w:sz w:val="22"/>
          <w:szCs w:val="22"/>
        </w:rPr>
        <w:br w:type="page"/>
      </w:r>
    </w:p>
    <w:p w:rsidR="00725951" w:rsidRPr="00D37ED1" w:rsidRDefault="00A378D8" w:rsidP="00A378D8">
      <w:pPr>
        <w:pStyle w:val="Heading1"/>
      </w:pPr>
      <w:bookmarkStart w:id="16" w:name="_Toc101346943"/>
      <w:r>
        <w:lastRenderedPageBreak/>
        <w:t>SECTION 3</w:t>
      </w:r>
      <w:r>
        <w:br/>
      </w:r>
      <w:r w:rsidR="00F757E6" w:rsidRPr="00D37ED1">
        <w:t>REPORTING AND PAYMENT</w:t>
      </w:r>
      <w:bookmarkEnd w:id="16"/>
    </w:p>
    <w:p w:rsidR="001F1EA7" w:rsidRPr="00D37ED1" w:rsidRDefault="00DC5D08" w:rsidP="00E35513">
      <w:pPr>
        <w:pStyle w:val="Heading2"/>
      </w:pPr>
      <w:bookmarkStart w:id="17" w:name="_Toc101346944"/>
      <w:r w:rsidRPr="00D37ED1">
        <w:t xml:space="preserve">Submission of </w:t>
      </w:r>
      <w:r w:rsidR="00F757E6" w:rsidRPr="00D37ED1">
        <w:t>Annual Reports</w:t>
      </w:r>
      <w:bookmarkEnd w:id="17"/>
    </w:p>
    <w:p w:rsidR="00C336A6" w:rsidRPr="00D37ED1" w:rsidRDefault="00C336A6" w:rsidP="00C336A6">
      <w:pPr>
        <w:spacing w:after="120"/>
        <w:ind w:left="720" w:hanging="720"/>
        <w:rPr>
          <w:rFonts w:cstheme="minorHAnsi"/>
        </w:rPr>
      </w:pPr>
      <w:r w:rsidRPr="00D37ED1">
        <w:rPr>
          <w:rFonts w:cstheme="minorHAnsi"/>
        </w:rPr>
        <w:t>3.1</w:t>
      </w:r>
      <w:r w:rsidRPr="00D37ED1">
        <w:rPr>
          <w:rFonts w:cstheme="minorHAnsi"/>
        </w:rPr>
        <w:tab/>
        <w:t xml:space="preserve">During your period of office you will be required to submit a written report to the </w:t>
      </w:r>
      <w:r>
        <w:rPr>
          <w:rFonts w:cstheme="minorHAnsi"/>
        </w:rPr>
        <w:t xml:space="preserve">University </w:t>
      </w:r>
      <w:r w:rsidRPr="00D37ED1">
        <w:rPr>
          <w:rFonts w:cstheme="minorHAnsi"/>
        </w:rPr>
        <w:t>at the end of each assessment cycle. The University has a standard report form for this purpose (Appendix 2). Th</w:t>
      </w:r>
      <w:r>
        <w:rPr>
          <w:rFonts w:cstheme="minorHAnsi"/>
        </w:rPr>
        <w:t>e form can also be found at:</w:t>
      </w:r>
      <w:r>
        <w:rPr>
          <w:rFonts w:cstheme="minorHAnsi"/>
        </w:rPr>
        <w:br/>
      </w:r>
      <w:hyperlink r:id="rId15" w:history="1">
        <w:r w:rsidRPr="00D54EFD">
          <w:rPr>
            <w:rStyle w:val="Hyperlink"/>
            <w:rFonts w:cstheme="minorHAnsi"/>
          </w:rPr>
          <w:t>www.le.ac.uk/sas/assessments/externalexamining</w:t>
        </w:r>
      </w:hyperlink>
      <w:r>
        <w:rPr>
          <w:rFonts w:cstheme="minorHAnsi"/>
        </w:rPr>
        <w:t xml:space="preserve"> </w:t>
      </w:r>
    </w:p>
    <w:p w:rsidR="00C336A6" w:rsidRPr="00D37ED1" w:rsidRDefault="00C336A6" w:rsidP="00C336A6">
      <w:pPr>
        <w:spacing w:after="120"/>
        <w:ind w:left="720" w:hanging="720"/>
        <w:rPr>
          <w:rFonts w:cstheme="minorHAnsi"/>
        </w:rPr>
      </w:pPr>
      <w:r w:rsidRPr="00D37ED1">
        <w:rPr>
          <w:rFonts w:cstheme="minorHAnsi"/>
        </w:rPr>
        <w:t>3.2</w:t>
      </w:r>
      <w:r w:rsidRPr="00D37ED1">
        <w:rPr>
          <w:rFonts w:cstheme="minorHAnsi"/>
        </w:rPr>
        <w:tab/>
        <w:t xml:space="preserve">You will be contacted by </w:t>
      </w:r>
      <w:r w:rsidR="007757A6">
        <w:rPr>
          <w:rFonts w:cstheme="minorHAnsi"/>
        </w:rPr>
        <w:t>Education Quality, Enhancement and Development</w:t>
      </w:r>
      <w:r w:rsidRPr="00D37ED1">
        <w:rPr>
          <w:rFonts w:cstheme="minorHAnsi"/>
        </w:rPr>
        <w:t xml:space="preserve"> before your report is due with an electronic copy of the form and details on how to submit it.</w:t>
      </w:r>
    </w:p>
    <w:p w:rsidR="00C336A6" w:rsidRPr="00D37ED1" w:rsidRDefault="00C336A6" w:rsidP="00C336A6">
      <w:pPr>
        <w:spacing w:after="120"/>
        <w:ind w:left="720" w:hanging="720"/>
        <w:rPr>
          <w:rFonts w:cstheme="minorHAnsi"/>
        </w:rPr>
      </w:pPr>
      <w:r w:rsidRPr="00D37ED1">
        <w:rPr>
          <w:rFonts w:cstheme="minorHAnsi"/>
        </w:rPr>
        <w:t>3.3</w:t>
      </w:r>
      <w:r w:rsidRPr="00D37ED1">
        <w:rPr>
          <w:rFonts w:cstheme="minorHAnsi"/>
        </w:rPr>
        <w:tab/>
        <w:t xml:space="preserve">The form is designed to collect the information required to confirm the standards of University awards, the appropriateness of student achievement and the integrity of the assessment process. </w:t>
      </w:r>
    </w:p>
    <w:p w:rsidR="00C336A6" w:rsidRPr="00D37ED1" w:rsidRDefault="00C336A6" w:rsidP="007757A6">
      <w:pPr>
        <w:spacing w:after="120"/>
        <w:ind w:left="720" w:hanging="720"/>
        <w:rPr>
          <w:rFonts w:cstheme="minorHAnsi"/>
        </w:rPr>
      </w:pPr>
      <w:r w:rsidRPr="00D37ED1">
        <w:rPr>
          <w:rFonts w:cstheme="minorHAnsi"/>
        </w:rPr>
        <w:t>3.4</w:t>
      </w:r>
      <w:r w:rsidRPr="00D37ED1">
        <w:rPr>
          <w:rFonts w:cstheme="minorHAnsi"/>
        </w:rPr>
        <w:tab/>
        <w:t xml:space="preserve">Reports should be submitted to </w:t>
      </w:r>
      <w:r w:rsidR="007757A6">
        <w:rPr>
          <w:rFonts w:cstheme="minorHAnsi"/>
        </w:rPr>
        <w:t>Education Quality, Enhancement and Development</w:t>
      </w:r>
      <w:r w:rsidRPr="00D37ED1">
        <w:rPr>
          <w:rFonts w:cstheme="minorHAnsi"/>
        </w:rPr>
        <w:t xml:space="preserve"> by the following deadlines:</w:t>
      </w:r>
    </w:p>
    <w:p w:rsidR="00C336A6" w:rsidRPr="00D37ED1" w:rsidRDefault="00C336A6" w:rsidP="00C336A6">
      <w:pPr>
        <w:spacing w:after="120"/>
        <w:ind w:left="720"/>
        <w:rPr>
          <w:rFonts w:cstheme="minorHAnsi"/>
        </w:rPr>
      </w:pPr>
      <w:r w:rsidRPr="00D37ED1">
        <w:rPr>
          <w:rFonts w:cstheme="minorHAnsi"/>
        </w:rPr>
        <w:t>Undergraduate Pr</w:t>
      </w:r>
      <w:r>
        <w:rPr>
          <w:rFonts w:cstheme="minorHAnsi"/>
        </w:rPr>
        <w:t xml:space="preserve">ogrammes </w:t>
      </w:r>
      <w:r>
        <w:rPr>
          <w:rFonts w:cstheme="minorHAnsi"/>
        </w:rPr>
        <w:tab/>
      </w:r>
      <w:r>
        <w:rPr>
          <w:rFonts w:cstheme="minorHAnsi"/>
        </w:rPr>
        <w:tab/>
        <w:t xml:space="preserve">31 July </w:t>
      </w:r>
      <w:r>
        <w:rPr>
          <w:rFonts w:cstheme="minorHAnsi"/>
        </w:rPr>
        <w:br/>
      </w:r>
      <w:r w:rsidRPr="00D37ED1">
        <w:rPr>
          <w:rFonts w:cstheme="minorHAnsi"/>
        </w:rPr>
        <w:t>Postgradu</w:t>
      </w:r>
      <w:r>
        <w:rPr>
          <w:rFonts w:cstheme="minorHAnsi"/>
        </w:rPr>
        <w:t>ate Programmes</w:t>
      </w:r>
      <w:r>
        <w:rPr>
          <w:rFonts w:cstheme="minorHAnsi"/>
        </w:rPr>
        <w:tab/>
      </w:r>
      <w:r>
        <w:rPr>
          <w:rFonts w:cstheme="minorHAnsi"/>
        </w:rPr>
        <w:tab/>
        <w:t>31 December</w:t>
      </w:r>
    </w:p>
    <w:p w:rsidR="00C336A6" w:rsidRPr="00D37ED1" w:rsidRDefault="00C336A6" w:rsidP="007757A6">
      <w:pPr>
        <w:spacing w:after="120"/>
        <w:ind w:left="720" w:hanging="720"/>
        <w:rPr>
          <w:rFonts w:cstheme="minorHAnsi"/>
        </w:rPr>
      </w:pPr>
      <w:r w:rsidRPr="00D37ED1">
        <w:rPr>
          <w:rFonts w:cstheme="minorHAnsi"/>
        </w:rPr>
        <w:t>3.5</w:t>
      </w:r>
      <w:r w:rsidRPr="00D37ED1">
        <w:rPr>
          <w:rFonts w:cstheme="minorHAnsi"/>
        </w:rPr>
        <w:tab/>
        <w:t xml:space="preserve">If </w:t>
      </w:r>
      <w:r w:rsidR="007757A6">
        <w:rPr>
          <w:rFonts w:cstheme="minorHAnsi"/>
        </w:rPr>
        <w:t>Education Quality, Enhancement and Development</w:t>
      </w:r>
      <w:r w:rsidRPr="00D37ED1">
        <w:rPr>
          <w:rFonts w:cstheme="minorHAnsi"/>
        </w:rPr>
        <w:t xml:space="preserve"> does not receive a report from you a reminder will be issued.</w:t>
      </w:r>
    </w:p>
    <w:p w:rsidR="00C336A6" w:rsidRPr="00D37ED1" w:rsidRDefault="00C336A6" w:rsidP="00C336A6">
      <w:pPr>
        <w:pStyle w:val="Heading2"/>
      </w:pPr>
      <w:bookmarkStart w:id="18" w:name="_Toc101346945"/>
      <w:r w:rsidRPr="00D37ED1">
        <w:t>Consideration of External Examiner Reports</w:t>
      </w:r>
      <w:bookmarkEnd w:id="18"/>
    </w:p>
    <w:p w:rsidR="00C336A6" w:rsidRPr="00D37ED1" w:rsidRDefault="00C336A6" w:rsidP="00C336A6">
      <w:pPr>
        <w:spacing w:after="120"/>
        <w:ind w:left="720" w:hanging="720"/>
        <w:rPr>
          <w:rFonts w:cstheme="minorHAnsi"/>
        </w:rPr>
      </w:pPr>
      <w:r w:rsidRPr="00D37ED1">
        <w:rPr>
          <w:rFonts w:cstheme="minorHAnsi"/>
        </w:rPr>
        <w:t>3.6</w:t>
      </w:r>
      <w:r w:rsidRPr="00D37ED1">
        <w:rPr>
          <w:rFonts w:cstheme="minorHAnsi"/>
        </w:rPr>
        <w:tab/>
        <w:t xml:space="preserve">On receipt </w:t>
      </w:r>
      <w:r w:rsidR="007757A6">
        <w:rPr>
          <w:rFonts w:cstheme="minorHAnsi"/>
        </w:rPr>
        <w:t>Education Quality, Enhancement and Development</w:t>
      </w:r>
      <w:r w:rsidRPr="00D37ED1">
        <w:rPr>
          <w:rFonts w:cstheme="minorHAnsi"/>
        </w:rPr>
        <w:t xml:space="preserve"> will check reports to ensure they are complete and will acknowledge receipt.</w:t>
      </w:r>
    </w:p>
    <w:p w:rsidR="00C336A6" w:rsidRPr="00D37ED1" w:rsidRDefault="00C336A6" w:rsidP="00C336A6">
      <w:pPr>
        <w:spacing w:after="120"/>
        <w:ind w:left="720" w:hanging="720"/>
        <w:rPr>
          <w:rFonts w:cstheme="minorHAnsi"/>
        </w:rPr>
      </w:pPr>
      <w:r>
        <w:rPr>
          <w:rFonts w:cstheme="minorHAnsi"/>
        </w:rPr>
        <w:t>3.7</w:t>
      </w:r>
      <w:r w:rsidRPr="00D37ED1">
        <w:rPr>
          <w:rFonts w:cstheme="minorHAnsi"/>
        </w:rPr>
        <w:tab/>
      </w:r>
      <w:r>
        <w:rPr>
          <w:rFonts w:cstheme="minorHAnsi"/>
        </w:rPr>
        <w:t xml:space="preserve">Each report will be provided to the Head of </w:t>
      </w:r>
      <w:r w:rsidRPr="00D37ED1">
        <w:rPr>
          <w:rFonts w:cstheme="minorHAnsi"/>
        </w:rPr>
        <w:t xml:space="preserve">School who will prepare an appropriate response to the issues raised. </w:t>
      </w:r>
      <w:r>
        <w:rPr>
          <w:rFonts w:cstheme="minorHAnsi"/>
        </w:rPr>
        <w:t xml:space="preserve"> A copy of this should be sent to you</w:t>
      </w:r>
      <w:r w:rsidR="00EA1B89">
        <w:rPr>
          <w:rFonts w:cstheme="minorHAnsi"/>
        </w:rPr>
        <w:t xml:space="preserve"> by the </w:t>
      </w:r>
      <w:r w:rsidR="00F92E7C">
        <w:rPr>
          <w:rFonts w:cstheme="minorHAnsi"/>
        </w:rPr>
        <w:t>School</w:t>
      </w:r>
      <w:r>
        <w:rPr>
          <w:rFonts w:cstheme="minorHAnsi"/>
        </w:rPr>
        <w:t>.</w:t>
      </w:r>
    </w:p>
    <w:p w:rsidR="00C336A6" w:rsidRPr="00D37ED1" w:rsidRDefault="00C336A6" w:rsidP="00C336A6">
      <w:pPr>
        <w:spacing w:after="120"/>
        <w:ind w:left="720" w:hanging="720"/>
        <w:rPr>
          <w:rFonts w:cstheme="minorHAnsi"/>
        </w:rPr>
      </w:pPr>
      <w:r>
        <w:rPr>
          <w:rFonts w:cstheme="minorHAnsi"/>
        </w:rPr>
        <w:t>3.8</w:t>
      </w:r>
      <w:r w:rsidRPr="00D37ED1">
        <w:rPr>
          <w:rFonts w:cstheme="minorHAnsi"/>
        </w:rPr>
        <w:tab/>
      </w:r>
      <w:r w:rsidR="007757A6">
        <w:rPr>
          <w:rFonts w:cstheme="minorHAnsi"/>
        </w:rPr>
        <w:t>Education Quality, Enhancement and Development</w:t>
      </w:r>
      <w:r w:rsidRPr="00D37ED1">
        <w:rPr>
          <w:rFonts w:cstheme="minorHAnsi"/>
        </w:rPr>
        <w:t xml:space="preserve"> will send copies of the report and </w:t>
      </w:r>
      <w:r w:rsidR="00E32775">
        <w:rPr>
          <w:rFonts w:cstheme="minorHAnsi"/>
        </w:rPr>
        <w:t>school</w:t>
      </w:r>
      <w:r w:rsidRPr="00D37ED1">
        <w:rPr>
          <w:rFonts w:cstheme="minorHAnsi"/>
        </w:rPr>
        <w:t xml:space="preserve"> responses to the relevant Head of College and Academic Director</w:t>
      </w:r>
      <w:r w:rsidR="00F92E7C">
        <w:rPr>
          <w:rFonts w:cstheme="minorHAnsi"/>
        </w:rPr>
        <w:t>/Dean of Education</w:t>
      </w:r>
      <w:r>
        <w:rPr>
          <w:rFonts w:cstheme="minorHAnsi"/>
        </w:rPr>
        <w:t>, and in case of Postgraduate Taught programmes the Graduate Dean.</w:t>
      </w:r>
    </w:p>
    <w:p w:rsidR="00C336A6" w:rsidRPr="00D37ED1" w:rsidRDefault="00C336A6" w:rsidP="00C336A6">
      <w:pPr>
        <w:spacing w:after="120"/>
        <w:ind w:left="720" w:hanging="720"/>
        <w:rPr>
          <w:rFonts w:cstheme="minorHAnsi"/>
        </w:rPr>
      </w:pPr>
      <w:r>
        <w:rPr>
          <w:rFonts w:cstheme="minorHAnsi"/>
        </w:rPr>
        <w:t>3.9</w:t>
      </w:r>
      <w:r w:rsidRPr="00D37ED1">
        <w:rPr>
          <w:rFonts w:cstheme="minorHAnsi"/>
        </w:rPr>
        <w:tab/>
        <w:t xml:space="preserve">An archive of external examiners’ reports will be maintained electronically by </w:t>
      </w:r>
      <w:r w:rsidR="007757A6">
        <w:rPr>
          <w:rFonts w:cstheme="minorHAnsi"/>
        </w:rPr>
        <w:t>Education Quality, Enhancement and Development</w:t>
      </w:r>
      <w:r>
        <w:rPr>
          <w:rFonts w:cstheme="minorHAnsi"/>
        </w:rPr>
        <w:t xml:space="preserve"> and published once they have been through formal University processes. </w:t>
      </w:r>
    </w:p>
    <w:p w:rsidR="00C336A6" w:rsidRPr="00D37ED1" w:rsidRDefault="00C336A6" w:rsidP="00C336A6">
      <w:pPr>
        <w:spacing w:after="120"/>
        <w:ind w:left="720" w:hanging="720"/>
        <w:rPr>
          <w:rFonts w:cstheme="minorHAnsi"/>
        </w:rPr>
      </w:pPr>
      <w:r w:rsidRPr="00D37ED1">
        <w:rPr>
          <w:rFonts w:cstheme="minorHAnsi"/>
        </w:rPr>
        <w:t>3.1</w:t>
      </w:r>
      <w:r>
        <w:rPr>
          <w:rFonts w:cstheme="minorHAnsi"/>
        </w:rPr>
        <w:t>0</w:t>
      </w:r>
      <w:r w:rsidRPr="00D37ED1">
        <w:rPr>
          <w:rFonts w:cstheme="minorHAnsi"/>
        </w:rPr>
        <w:tab/>
      </w:r>
      <w:r w:rsidR="00E32775">
        <w:rPr>
          <w:rFonts w:cstheme="minorHAnsi"/>
        </w:rPr>
        <w:t>School</w:t>
      </w:r>
      <w:r w:rsidRPr="00D37ED1">
        <w:rPr>
          <w:rFonts w:cstheme="minorHAnsi"/>
        </w:rPr>
        <w:t xml:space="preserve">s </w:t>
      </w:r>
      <w:r w:rsidR="003A5ECC">
        <w:rPr>
          <w:rFonts w:cstheme="minorHAnsi"/>
        </w:rPr>
        <w:t xml:space="preserve">and the University </w:t>
      </w:r>
      <w:r w:rsidRPr="00D37ED1">
        <w:rPr>
          <w:rFonts w:cstheme="minorHAnsi"/>
        </w:rPr>
        <w:t xml:space="preserve">will make full use of external examiners’ reports in annual </w:t>
      </w:r>
      <w:r w:rsidR="00EA1B89">
        <w:rPr>
          <w:rFonts w:cstheme="minorHAnsi"/>
        </w:rPr>
        <w:t xml:space="preserve">and </w:t>
      </w:r>
      <w:r w:rsidRPr="00D37ED1">
        <w:rPr>
          <w:rFonts w:cstheme="minorHAnsi"/>
        </w:rPr>
        <w:t>periodic developmental review.</w:t>
      </w:r>
    </w:p>
    <w:p w:rsidR="00C336A6" w:rsidRPr="00D37ED1" w:rsidRDefault="00C336A6" w:rsidP="00C336A6">
      <w:pPr>
        <w:spacing w:after="120"/>
        <w:ind w:left="720" w:hanging="720"/>
        <w:rPr>
          <w:rFonts w:cstheme="minorHAnsi"/>
        </w:rPr>
      </w:pPr>
      <w:r>
        <w:rPr>
          <w:rFonts w:cstheme="minorHAnsi"/>
        </w:rPr>
        <w:t>3.11</w:t>
      </w:r>
      <w:r w:rsidRPr="00D37ED1">
        <w:rPr>
          <w:rFonts w:cstheme="minorHAnsi"/>
        </w:rPr>
        <w:tab/>
        <w:t xml:space="preserve">A digest of the reports of all external examiners reports will be considered annually by the </w:t>
      </w:r>
      <w:r w:rsidR="00F92E7C">
        <w:rPr>
          <w:rFonts w:cstheme="minorHAnsi"/>
        </w:rPr>
        <w:t>Learning and Teaching</w:t>
      </w:r>
      <w:r w:rsidRPr="00D37ED1">
        <w:rPr>
          <w:rFonts w:cstheme="minorHAnsi"/>
        </w:rPr>
        <w:t xml:space="preserve"> Committee and Senate.</w:t>
      </w:r>
    </w:p>
    <w:p w:rsidR="00BB2190" w:rsidRPr="00D37ED1" w:rsidRDefault="004611E0" w:rsidP="00E35513">
      <w:pPr>
        <w:pStyle w:val="Heading2"/>
        <w:keepNext/>
      </w:pPr>
      <w:bookmarkStart w:id="19" w:name="_Toc101346946"/>
      <w:r w:rsidRPr="00D37ED1">
        <w:lastRenderedPageBreak/>
        <w:t>Payment of Fees and Expenses</w:t>
      </w:r>
      <w:bookmarkEnd w:id="19"/>
      <w:r w:rsidR="00725951" w:rsidRPr="00D37ED1">
        <w:t xml:space="preserve"> </w:t>
      </w:r>
    </w:p>
    <w:p w:rsidR="002328CB" w:rsidRPr="00D37ED1" w:rsidRDefault="002328CB" w:rsidP="00E35513">
      <w:pPr>
        <w:spacing w:after="120"/>
        <w:ind w:left="720" w:hanging="720"/>
        <w:rPr>
          <w:rFonts w:cstheme="minorHAnsi"/>
        </w:rPr>
      </w:pPr>
      <w:r w:rsidRPr="00D37ED1">
        <w:rPr>
          <w:rFonts w:cstheme="minorHAnsi"/>
        </w:rPr>
        <w:t>3.1</w:t>
      </w:r>
      <w:r w:rsidR="003A5ECC">
        <w:rPr>
          <w:rFonts w:cstheme="minorHAnsi"/>
        </w:rPr>
        <w:t>2</w:t>
      </w:r>
      <w:r w:rsidRPr="00D37ED1">
        <w:rPr>
          <w:rFonts w:cstheme="minorHAnsi"/>
        </w:rPr>
        <w:tab/>
      </w:r>
      <w:r w:rsidR="00725951" w:rsidRPr="00D37ED1">
        <w:rPr>
          <w:rFonts w:cstheme="minorHAnsi"/>
        </w:rPr>
        <w:t xml:space="preserve">Fees payable to external examiners are notified in the letter of appointment. </w:t>
      </w:r>
    </w:p>
    <w:p w:rsidR="00725951" w:rsidRPr="00D37ED1" w:rsidRDefault="003A5ECC" w:rsidP="00E35513">
      <w:pPr>
        <w:spacing w:after="120"/>
        <w:ind w:left="720" w:hanging="720"/>
        <w:rPr>
          <w:rFonts w:cstheme="minorHAnsi"/>
        </w:rPr>
      </w:pPr>
      <w:r>
        <w:rPr>
          <w:rFonts w:cstheme="minorHAnsi"/>
        </w:rPr>
        <w:t>3.13</w:t>
      </w:r>
      <w:r w:rsidR="002328CB" w:rsidRPr="00D37ED1">
        <w:rPr>
          <w:rFonts w:cstheme="minorHAnsi"/>
        </w:rPr>
        <w:tab/>
      </w:r>
      <w:r w:rsidR="007757A6">
        <w:rPr>
          <w:rFonts w:cstheme="minorHAnsi"/>
        </w:rPr>
        <w:t>Education Quality, Enhancement and Development</w:t>
      </w:r>
      <w:r w:rsidR="00725951" w:rsidRPr="00D37ED1">
        <w:rPr>
          <w:rFonts w:cstheme="minorHAnsi"/>
        </w:rPr>
        <w:t xml:space="preserve"> will send </w:t>
      </w:r>
      <w:r w:rsidR="002328CB" w:rsidRPr="00D37ED1">
        <w:rPr>
          <w:rFonts w:cstheme="minorHAnsi"/>
        </w:rPr>
        <w:t xml:space="preserve">you </w:t>
      </w:r>
      <w:r w:rsidR="00725951" w:rsidRPr="00D37ED1">
        <w:rPr>
          <w:rFonts w:cstheme="minorHAnsi"/>
        </w:rPr>
        <w:t>a fees and expenses claim for</w:t>
      </w:r>
      <w:r w:rsidR="00365C3B">
        <w:rPr>
          <w:rFonts w:cstheme="minorHAnsi"/>
        </w:rPr>
        <w:t>m</w:t>
      </w:r>
      <w:r w:rsidR="00725951" w:rsidRPr="00D37ED1">
        <w:rPr>
          <w:rFonts w:cstheme="minorHAnsi"/>
        </w:rPr>
        <w:t xml:space="preserve"> prior to each examination board. </w:t>
      </w:r>
    </w:p>
    <w:p w:rsidR="00BB2190" w:rsidRPr="00D37ED1" w:rsidRDefault="002328CB" w:rsidP="00F92E7C">
      <w:pPr>
        <w:spacing w:after="120"/>
        <w:ind w:left="720" w:hanging="720"/>
        <w:rPr>
          <w:rFonts w:cstheme="minorHAnsi"/>
        </w:rPr>
      </w:pPr>
      <w:r w:rsidRPr="00D37ED1">
        <w:rPr>
          <w:rFonts w:cstheme="minorHAnsi"/>
        </w:rPr>
        <w:t>3.1</w:t>
      </w:r>
      <w:r w:rsidR="003A5ECC">
        <w:rPr>
          <w:rFonts w:cstheme="minorHAnsi"/>
        </w:rPr>
        <w:t>4</w:t>
      </w:r>
      <w:r w:rsidRPr="00D37ED1">
        <w:rPr>
          <w:rFonts w:cstheme="minorHAnsi"/>
        </w:rPr>
        <w:tab/>
        <w:t xml:space="preserve">Your </w:t>
      </w:r>
      <w:r w:rsidR="00725951" w:rsidRPr="00D37ED1">
        <w:rPr>
          <w:rFonts w:cstheme="minorHAnsi"/>
        </w:rPr>
        <w:t>fees payments will be processed on recei</w:t>
      </w:r>
      <w:r w:rsidR="00166FDC" w:rsidRPr="00D37ED1">
        <w:rPr>
          <w:rFonts w:cstheme="minorHAnsi"/>
        </w:rPr>
        <w:t xml:space="preserve">pt of </w:t>
      </w:r>
      <w:r w:rsidRPr="00D37ED1">
        <w:rPr>
          <w:rFonts w:cstheme="minorHAnsi"/>
        </w:rPr>
        <w:t xml:space="preserve">your </w:t>
      </w:r>
      <w:r w:rsidR="00166FDC" w:rsidRPr="00D37ED1">
        <w:rPr>
          <w:rFonts w:cstheme="minorHAnsi"/>
        </w:rPr>
        <w:t xml:space="preserve">annual report. </w:t>
      </w:r>
      <w:r w:rsidRPr="00D37ED1">
        <w:rPr>
          <w:rFonts w:cstheme="minorHAnsi"/>
        </w:rPr>
        <w:t>You can claim e</w:t>
      </w:r>
      <w:r w:rsidR="00166FDC" w:rsidRPr="00D37ED1">
        <w:rPr>
          <w:rFonts w:cstheme="minorHAnsi"/>
        </w:rPr>
        <w:t>xpenses throughout the year as appropriate and where expenses only are being claimed an expenses form should be submitted.</w:t>
      </w:r>
      <w:r w:rsidR="001702DF" w:rsidRPr="00D37ED1">
        <w:rPr>
          <w:rFonts w:cstheme="minorHAnsi"/>
        </w:rPr>
        <w:t xml:space="preserve"> </w:t>
      </w:r>
      <w:r w:rsidR="00725951" w:rsidRPr="00D37ED1">
        <w:rPr>
          <w:rFonts w:cstheme="minorHAnsi"/>
        </w:rPr>
        <w:t xml:space="preserve"> </w:t>
      </w:r>
      <w:r w:rsidR="00F92E7C">
        <w:rPr>
          <w:rFonts w:cstheme="minorHAnsi"/>
        </w:rPr>
        <w:t>I</w:t>
      </w:r>
      <w:r w:rsidR="00B1007B" w:rsidRPr="00D37ED1">
        <w:rPr>
          <w:rFonts w:cstheme="minorHAnsi"/>
        </w:rPr>
        <w:t xml:space="preserve">f you contact </w:t>
      </w:r>
      <w:r w:rsidR="007757A6">
        <w:rPr>
          <w:rFonts w:cstheme="minorHAnsi"/>
        </w:rPr>
        <w:t>Education Quality, Enhancement and Development</w:t>
      </w:r>
      <w:r w:rsidR="00B1007B" w:rsidRPr="00D37ED1">
        <w:rPr>
          <w:rFonts w:cstheme="minorHAnsi"/>
        </w:rPr>
        <w:t xml:space="preserve"> a copy will be sent to you.  </w:t>
      </w:r>
      <w:r w:rsidR="00725951" w:rsidRPr="00D37ED1">
        <w:rPr>
          <w:rFonts w:cstheme="minorHAnsi"/>
        </w:rPr>
        <w:t>Please ensure that you submit receipts with expenses claims</w:t>
      </w:r>
      <w:r w:rsidR="00166FDC" w:rsidRPr="00D37ED1">
        <w:rPr>
          <w:rFonts w:cstheme="minorHAnsi"/>
        </w:rPr>
        <w:t xml:space="preserve"> so that they can be processed promptly without any deductions.</w:t>
      </w:r>
    </w:p>
    <w:p w:rsidR="00BB2190" w:rsidRPr="00D37ED1" w:rsidRDefault="003A5ECC" w:rsidP="00E35513">
      <w:pPr>
        <w:spacing w:after="120"/>
        <w:ind w:left="720" w:hanging="720"/>
        <w:rPr>
          <w:rFonts w:cstheme="minorHAnsi"/>
        </w:rPr>
      </w:pPr>
      <w:r>
        <w:rPr>
          <w:rFonts w:cstheme="minorHAnsi"/>
        </w:rPr>
        <w:t>3.15</w:t>
      </w:r>
      <w:r w:rsidR="002328CB" w:rsidRPr="00D37ED1">
        <w:rPr>
          <w:rFonts w:cstheme="minorHAnsi"/>
        </w:rPr>
        <w:tab/>
      </w:r>
      <w:r w:rsidR="00C336A6">
        <w:rPr>
          <w:rFonts w:cstheme="minorHAnsi"/>
        </w:rPr>
        <w:t>In order to comply with the UKVI</w:t>
      </w:r>
      <w:r w:rsidR="00BB2190" w:rsidRPr="00D37ED1">
        <w:rPr>
          <w:rFonts w:cstheme="minorHAnsi"/>
        </w:rPr>
        <w:t xml:space="preserve"> requirements the University is now required to ask external examiners for proof that they are entitled to work in the UK.</w:t>
      </w:r>
      <w:r w:rsidR="00166FDC" w:rsidRPr="00D37ED1">
        <w:rPr>
          <w:rFonts w:cstheme="minorHAnsi"/>
        </w:rPr>
        <w:t xml:space="preserve"> Details of this are given in appointment letters. Examiners are asked to bring one of the following documents with them when they attend their first examination board meetings so that a copy can be made and retained by the University:</w:t>
      </w:r>
    </w:p>
    <w:p w:rsidR="00166FDC" w:rsidRPr="00D37ED1" w:rsidRDefault="00166FDC" w:rsidP="00E35513">
      <w:pPr>
        <w:spacing w:before="240" w:after="120"/>
        <w:ind w:firstLine="720"/>
        <w:rPr>
          <w:rFonts w:cstheme="minorHAnsi"/>
        </w:rPr>
      </w:pPr>
      <w:r w:rsidRPr="00D37ED1">
        <w:rPr>
          <w:rFonts w:cstheme="minorHAnsi"/>
        </w:rPr>
        <w:t>If you are a UK citizen:</w:t>
      </w:r>
    </w:p>
    <w:p w:rsidR="00166FDC" w:rsidRPr="00D37ED1" w:rsidRDefault="00166FDC" w:rsidP="00166FDC">
      <w:pPr>
        <w:pStyle w:val="ListParagraph"/>
        <w:numPr>
          <w:ilvl w:val="0"/>
          <w:numId w:val="4"/>
        </w:numPr>
        <w:spacing w:after="0"/>
        <w:rPr>
          <w:rFonts w:cstheme="minorHAnsi"/>
        </w:rPr>
      </w:pPr>
      <w:r w:rsidRPr="00D37ED1">
        <w:rPr>
          <w:rFonts w:cstheme="minorHAnsi"/>
        </w:rPr>
        <w:t xml:space="preserve">Your passport </w:t>
      </w:r>
      <w:r w:rsidRPr="00D37ED1">
        <w:rPr>
          <w:rFonts w:cstheme="minorHAnsi"/>
          <w:b/>
        </w:rPr>
        <w:t>or</w:t>
      </w:r>
    </w:p>
    <w:p w:rsidR="00166FDC" w:rsidRPr="00D37ED1" w:rsidRDefault="00166FDC" w:rsidP="00166FDC">
      <w:pPr>
        <w:pStyle w:val="ListParagraph"/>
        <w:numPr>
          <w:ilvl w:val="0"/>
          <w:numId w:val="4"/>
        </w:numPr>
        <w:spacing w:after="0"/>
        <w:rPr>
          <w:rFonts w:cstheme="minorHAnsi"/>
        </w:rPr>
      </w:pPr>
      <w:r w:rsidRPr="00D37ED1">
        <w:rPr>
          <w:rFonts w:cstheme="minorHAnsi"/>
        </w:rPr>
        <w:t>Full birth certificate issue</w:t>
      </w:r>
      <w:r w:rsidR="0073408B">
        <w:rPr>
          <w:rFonts w:cstheme="minorHAnsi"/>
        </w:rPr>
        <w:t>d</w:t>
      </w:r>
      <w:r w:rsidRPr="00D37ED1">
        <w:rPr>
          <w:rFonts w:cstheme="minorHAnsi"/>
        </w:rPr>
        <w:t xml:space="preserve"> in the UK and an official document giving your permanent National Insurance Numbers and your name, issued by a Government agency or employer</w:t>
      </w:r>
    </w:p>
    <w:p w:rsidR="00166FDC" w:rsidRPr="00D37ED1" w:rsidRDefault="00166FDC" w:rsidP="00E35513">
      <w:pPr>
        <w:spacing w:before="240" w:after="120"/>
        <w:ind w:firstLine="720"/>
        <w:rPr>
          <w:rFonts w:cstheme="minorHAnsi"/>
        </w:rPr>
      </w:pPr>
      <w:r w:rsidRPr="00D37ED1">
        <w:rPr>
          <w:rFonts w:cstheme="minorHAnsi"/>
        </w:rPr>
        <w:t>If you are from a European Economic Area</w:t>
      </w:r>
      <w:r w:rsidR="002D0047" w:rsidRPr="00D37ED1">
        <w:rPr>
          <w:rFonts w:cstheme="minorHAnsi"/>
        </w:rPr>
        <w:t>:</w:t>
      </w:r>
    </w:p>
    <w:p w:rsidR="002D0047" w:rsidRPr="00D37ED1" w:rsidRDefault="002D0047" w:rsidP="002D0047">
      <w:pPr>
        <w:pStyle w:val="ListParagraph"/>
        <w:numPr>
          <w:ilvl w:val="0"/>
          <w:numId w:val="5"/>
        </w:numPr>
        <w:spacing w:after="0"/>
        <w:rPr>
          <w:rFonts w:cstheme="minorHAnsi"/>
        </w:rPr>
      </w:pPr>
      <w:r w:rsidRPr="00D37ED1">
        <w:rPr>
          <w:rFonts w:cstheme="minorHAnsi"/>
        </w:rPr>
        <w:t xml:space="preserve">Your passport </w:t>
      </w:r>
      <w:r w:rsidRPr="00D37ED1">
        <w:rPr>
          <w:rFonts w:cstheme="minorHAnsi"/>
          <w:b/>
        </w:rPr>
        <w:t>or</w:t>
      </w:r>
    </w:p>
    <w:p w:rsidR="002D0047" w:rsidRPr="00D37ED1" w:rsidRDefault="002D0047" w:rsidP="002D0047">
      <w:pPr>
        <w:pStyle w:val="ListParagraph"/>
        <w:numPr>
          <w:ilvl w:val="0"/>
          <w:numId w:val="5"/>
        </w:numPr>
        <w:spacing w:after="0"/>
        <w:rPr>
          <w:rFonts w:cstheme="minorHAnsi"/>
        </w:rPr>
      </w:pPr>
      <w:r w:rsidRPr="00D37ED1">
        <w:rPr>
          <w:rFonts w:cstheme="minorHAnsi"/>
        </w:rPr>
        <w:t>National Identity Card</w:t>
      </w:r>
    </w:p>
    <w:p w:rsidR="002D0047" w:rsidRPr="00D37ED1" w:rsidRDefault="002D0047" w:rsidP="00E35513">
      <w:pPr>
        <w:spacing w:before="240" w:after="120"/>
        <w:ind w:firstLine="720"/>
        <w:rPr>
          <w:rFonts w:cstheme="minorHAnsi"/>
        </w:rPr>
      </w:pPr>
      <w:r w:rsidRPr="00D37ED1">
        <w:rPr>
          <w:rFonts w:cstheme="minorHAnsi"/>
        </w:rPr>
        <w:t>If you are not a UK citizen or from an EEA:</w:t>
      </w:r>
    </w:p>
    <w:p w:rsidR="002D0047" w:rsidRDefault="002D0047" w:rsidP="00E35513">
      <w:pPr>
        <w:pStyle w:val="ListParagraph"/>
        <w:numPr>
          <w:ilvl w:val="0"/>
          <w:numId w:val="27"/>
        </w:numPr>
        <w:spacing w:after="0"/>
        <w:ind w:left="1077" w:hanging="357"/>
        <w:rPr>
          <w:rFonts w:cstheme="minorHAnsi"/>
        </w:rPr>
      </w:pPr>
      <w:r w:rsidRPr="00D37ED1">
        <w:rPr>
          <w:rFonts w:cstheme="minorHAnsi"/>
        </w:rPr>
        <w:t>Your passport and visa/entry clearance stamp/biometric immigration card issued by the UK Border and Immigration Agency giving permission to stay in the UK</w:t>
      </w:r>
    </w:p>
    <w:p w:rsidR="00B3446C" w:rsidRDefault="00B3446C" w:rsidP="00BB2190">
      <w:pPr>
        <w:spacing w:after="0"/>
        <w:rPr>
          <w:rFonts w:cstheme="minorHAnsi"/>
          <w:b/>
        </w:rPr>
        <w:sectPr w:rsidR="00B3446C" w:rsidSect="00CA4423">
          <w:headerReference w:type="default" r:id="rId16"/>
          <w:footerReference w:type="default" r:id="rId17"/>
          <w:type w:val="continuous"/>
          <w:pgSz w:w="11906" w:h="16838"/>
          <w:pgMar w:top="1440" w:right="1440" w:bottom="1440" w:left="1440" w:header="708" w:footer="708" w:gutter="0"/>
          <w:cols w:space="708"/>
          <w:docGrid w:linePitch="360"/>
        </w:sectPr>
      </w:pPr>
    </w:p>
    <w:p w:rsidR="00BB2190" w:rsidRPr="00D37ED1" w:rsidRDefault="002328CB" w:rsidP="00A378D8">
      <w:pPr>
        <w:pStyle w:val="Heading1"/>
      </w:pPr>
      <w:bookmarkStart w:id="20" w:name="_Toc101346947"/>
      <w:r w:rsidRPr="00D37ED1">
        <w:lastRenderedPageBreak/>
        <w:t>SECTION 4</w:t>
      </w:r>
      <w:r w:rsidR="00A378D8">
        <w:br/>
      </w:r>
      <w:r w:rsidR="00BB2190" w:rsidRPr="00D37ED1">
        <w:t>CONTACT DETAILS AND WEB ADDRESSES</w:t>
      </w:r>
      <w:bookmarkEnd w:id="20"/>
    </w:p>
    <w:p w:rsidR="00BB2190" w:rsidRPr="00D37ED1" w:rsidRDefault="00BB2190" w:rsidP="00E35513">
      <w:pPr>
        <w:pStyle w:val="Heading2"/>
      </w:pPr>
      <w:bookmarkStart w:id="21" w:name="_Toc101346948"/>
      <w:r w:rsidRPr="00D37ED1">
        <w:t>Contacts</w:t>
      </w:r>
      <w:bookmarkEnd w:id="21"/>
    </w:p>
    <w:p w:rsidR="00BB2190" w:rsidRDefault="00BB2190" w:rsidP="00BC0192">
      <w:pPr>
        <w:spacing w:after="0"/>
        <w:rPr>
          <w:rStyle w:val="Hyperlink"/>
          <w:rFonts w:cstheme="minorHAnsi"/>
        </w:rPr>
      </w:pPr>
      <w:r w:rsidRPr="00D37ED1">
        <w:rPr>
          <w:rFonts w:cstheme="minorHAnsi"/>
        </w:rPr>
        <w:t xml:space="preserve">Any queries about appointment, reporting processes, payment or general queries about University regulations and procedures can be addressed to </w:t>
      </w:r>
      <w:r w:rsidR="007757A6">
        <w:rPr>
          <w:rFonts w:cstheme="minorHAnsi"/>
        </w:rPr>
        <w:t>Education Quality, Enhancement and Development</w:t>
      </w:r>
      <w:r w:rsidRPr="00D37ED1">
        <w:rPr>
          <w:rFonts w:cstheme="minorHAnsi"/>
        </w:rPr>
        <w:t>. The e-mail address for external examiners is:</w:t>
      </w:r>
      <w:r w:rsidR="002328CB" w:rsidRPr="00D37ED1">
        <w:rPr>
          <w:rFonts w:cstheme="minorHAnsi"/>
        </w:rPr>
        <w:t xml:space="preserve"> </w:t>
      </w:r>
      <w:hyperlink r:id="rId18" w:history="1">
        <w:r w:rsidR="002328CB" w:rsidRPr="00D37ED1">
          <w:rPr>
            <w:rStyle w:val="Hyperlink"/>
            <w:rFonts w:cstheme="minorHAnsi"/>
          </w:rPr>
          <w:t>extexaminers@le.ac.uk</w:t>
        </w:r>
      </w:hyperlink>
    </w:p>
    <w:p w:rsidR="00BB2190" w:rsidRPr="00D37ED1" w:rsidRDefault="00BB2190" w:rsidP="00E35513">
      <w:pPr>
        <w:pStyle w:val="Heading2"/>
      </w:pPr>
      <w:bookmarkStart w:id="22" w:name="_Toc101346949"/>
      <w:r w:rsidRPr="00D37ED1">
        <w:t>Web Addresses</w:t>
      </w:r>
      <w:bookmarkEnd w:id="22"/>
    </w:p>
    <w:p w:rsidR="00BB2190" w:rsidRPr="00D37ED1" w:rsidRDefault="00BB2190" w:rsidP="00E35513">
      <w:pPr>
        <w:pStyle w:val="Heading3"/>
      </w:pPr>
      <w:bookmarkStart w:id="23" w:name="_Toc101346950"/>
      <w:r w:rsidRPr="00D37ED1">
        <w:t>University</w:t>
      </w:r>
      <w:r w:rsidR="00BC0192">
        <w:t>:</w:t>
      </w:r>
      <w:bookmarkEnd w:id="23"/>
      <w:r w:rsidRPr="00D37ED1">
        <w:t xml:space="preserve"> </w:t>
      </w:r>
    </w:p>
    <w:p w:rsidR="00BB2190" w:rsidRPr="001032BC" w:rsidRDefault="00BB2190" w:rsidP="00AD76E5">
      <w:pPr>
        <w:pStyle w:val="ListParagraph"/>
        <w:numPr>
          <w:ilvl w:val="0"/>
          <w:numId w:val="27"/>
        </w:numPr>
        <w:spacing w:after="120"/>
        <w:ind w:left="714" w:hanging="357"/>
        <w:contextualSpacing w:val="0"/>
        <w:rPr>
          <w:rStyle w:val="Hyperlink"/>
          <w:rFonts w:cstheme="minorHAnsi"/>
          <w:color w:val="auto"/>
          <w:u w:val="none"/>
        </w:rPr>
      </w:pPr>
      <w:r w:rsidRPr="00AD76E5">
        <w:rPr>
          <w:rFonts w:cstheme="minorHAnsi"/>
        </w:rPr>
        <w:t xml:space="preserve">University of Leicester website: </w:t>
      </w:r>
      <w:hyperlink r:id="rId19" w:history="1">
        <w:r w:rsidRPr="00AD76E5">
          <w:rPr>
            <w:rStyle w:val="Hyperlink"/>
            <w:rFonts w:cstheme="minorHAnsi"/>
          </w:rPr>
          <w:t>www.le.ac.uk</w:t>
        </w:r>
      </w:hyperlink>
    </w:p>
    <w:p w:rsidR="00BB2190" w:rsidRPr="00AD76E5" w:rsidRDefault="001032BC" w:rsidP="00A162BB">
      <w:pPr>
        <w:pStyle w:val="ListParagraph"/>
        <w:numPr>
          <w:ilvl w:val="0"/>
          <w:numId w:val="27"/>
        </w:numPr>
        <w:spacing w:after="120"/>
        <w:contextualSpacing w:val="0"/>
        <w:rPr>
          <w:rFonts w:cstheme="minorHAnsi"/>
        </w:rPr>
      </w:pPr>
      <w:r>
        <w:rPr>
          <w:rFonts w:cstheme="minorHAnsi"/>
        </w:rPr>
        <w:t xml:space="preserve">Information and forms for external examiners can be found on the </w:t>
      </w:r>
      <w:r w:rsidR="00A162BB">
        <w:rPr>
          <w:rFonts w:cstheme="minorHAnsi"/>
        </w:rPr>
        <w:t>University intranet site</w:t>
      </w:r>
      <w:r w:rsidR="00BA5B26" w:rsidRPr="00AD76E5">
        <w:rPr>
          <w:rFonts w:cstheme="minorHAnsi"/>
        </w:rPr>
        <w:t xml:space="preserve">: </w:t>
      </w:r>
      <w:hyperlink r:id="rId20" w:history="1">
        <w:r w:rsidR="00A162BB" w:rsidRPr="00CE572D">
          <w:rPr>
            <w:rStyle w:val="Hyperlink"/>
          </w:rPr>
          <w:t>https://uniofleicester.sharepoint.com/sites/staff/academic-administration/SitePages/External-examiners.aspx</w:t>
        </w:r>
      </w:hyperlink>
      <w:r w:rsidR="00A162BB">
        <w:t xml:space="preserve"> </w:t>
      </w:r>
    </w:p>
    <w:p w:rsidR="00BA5B26" w:rsidRPr="00AD76E5" w:rsidRDefault="00BA5B26" w:rsidP="00A162BB">
      <w:pPr>
        <w:pStyle w:val="ListParagraph"/>
        <w:numPr>
          <w:ilvl w:val="0"/>
          <w:numId w:val="27"/>
        </w:numPr>
        <w:spacing w:after="120"/>
        <w:contextualSpacing w:val="0"/>
        <w:rPr>
          <w:rFonts w:cstheme="minorHAnsi"/>
        </w:rPr>
      </w:pPr>
      <w:r w:rsidRPr="00AD76E5">
        <w:rPr>
          <w:rFonts w:cstheme="minorHAnsi"/>
        </w:rPr>
        <w:t xml:space="preserve">Senate Regulations: </w:t>
      </w:r>
      <w:r w:rsidR="00136256" w:rsidRPr="00AD76E5">
        <w:rPr>
          <w:rFonts w:cstheme="minorHAnsi"/>
        </w:rPr>
        <w:br/>
      </w:r>
      <w:hyperlink r:id="rId21" w:history="1">
        <w:r w:rsidR="00A162BB" w:rsidRPr="00CE572D">
          <w:rPr>
            <w:rStyle w:val="Hyperlink"/>
          </w:rPr>
          <w:t>https://le.ac.uk/policies/regulations/senate-regulations</w:t>
        </w:r>
      </w:hyperlink>
      <w:r w:rsidR="00A162BB">
        <w:t xml:space="preserve"> </w:t>
      </w:r>
    </w:p>
    <w:p w:rsidR="00BA5B26" w:rsidRDefault="00BA5B26" w:rsidP="00E35513">
      <w:pPr>
        <w:pStyle w:val="Heading3"/>
      </w:pPr>
      <w:bookmarkStart w:id="24" w:name="_Toc101346951"/>
      <w:r w:rsidRPr="00D37ED1">
        <w:t>Other Useful Web Addresses</w:t>
      </w:r>
      <w:r w:rsidR="00BC0192">
        <w:t>:</w:t>
      </w:r>
      <w:bookmarkEnd w:id="24"/>
    </w:p>
    <w:p w:rsidR="00F92E7C" w:rsidRDefault="00140232" w:rsidP="00F92E7C">
      <w:pPr>
        <w:pStyle w:val="ListParagraph"/>
        <w:numPr>
          <w:ilvl w:val="0"/>
          <w:numId w:val="49"/>
        </w:numPr>
        <w:spacing w:after="120"/>
        <w:contextualSpacing w:val="0"/>
        <w:rPr>
          <w:rFonts w:cstheme="minorHAnsi"/>
        </w:rPr>
      </w:pPr>
      <w:r w:rsidRPr="00AD76E5">
        <w:rPr>
          <w:rFonts w:cstheme="minorHAnsi"/>
        </w:rPr>
        <w:t>UK Q</w:t>
      </w:r>
      <w:r w:rsidR="00F92E7C">
        <w:rPr>
          <w:rFonts w:cstheme="minorHAnsi"/>
        </w:rPr>
        <w:t>uality Code for Higher Education:</w:t>
      </w:r>
    </w:p>
    <w:p w:rsidR="00BA5B26" w:rsidRPr="00AD76E5" w:rsidRDefault="000805C8" w:rsidP="00F92E7C">
      <w:pPr>
        <w:pStyle w:val="ListParagraph"/>
        <w:spacing w:after="120"/>
        <w:contextualSpacing w:val="0"/>
        <w:rPr>
          <w:rFonts w:cstheme="minorHAnsi"/>
        </w:rPr>
      </w:pPr>
      <w:hyperlink r:id="rId22" w:history="1">
        <w:r w:rsidR="00F92E7C" w:rsidRPr="00A47248">
          <w:rPr>
            <w:rStyle w:val="Hyperlink"/>
          </w:rPr>
          <w:t>https://www.qaa.ac.uk/quality-code</w:t>
        </w:r>
      </w:hyperlink>
      <w:r w:rsidR="00F92E7C">
        <w:t xml:space="preserve"> </w:t>
      </w:r>
    </w:p>
    <w:p w:rsidR="00F92E7C" w:rsidRDefault="00F92E7C" w:rsidP="00F92E7C">
      <w:pPr>
        <w:pStyle w:val="ListParagraph"/>
        <w:numPr>
          <w:ilvl w:val="0"/>
          <w:numId w:val="49"/>
        </w:numPr>
        <w:spacing w:after="120"/>
        <w:rPr>
          <w:rFonts w:cstheme="minorHAnsi"/>
        </w:rPr>
      </w:pPr>
      <w:r>
        <w:rPr>
          <w:rFonts w:cstheme="minorHAnsi"/>
        </w:rPr>
        <w:t>Advance HE</w:t>
      </w:r>
      <w:r w:rsidR="00BC0192" w:rsidRPr="00AD76E5">
        <w:rPr>
          <w:rFonts w:cstheme="minorHAnsi"/>
        </w:rPr>
        <w:t xml:space="preserve">: </w:t>
      </w:r>
      <w:r w:rsidR="00140232" w:rsidRPr="00AD76E5">
        <w:rPr>
          <w:rFonts w:cstheme="minorHAnsi"/>
        </w:rPr>
        <w:t>A Handbook for External Examining</w:t>
      </w:r>
      <w:r w:rsidR="00BC0192" w:rsidRPr="00AD76E5">
        <w:rPr>
          <w:rFonts w:cstheme="minorHAnsi"/>
        </w:rPr>
        <w:t>:</w:t>
      </w:r>
    </w:p>
    <w:p w:rsidR="001C3996" w:rsidRPr="00AD76E5" w:rsidRDefault="000805C8" w:rsidP="00F92E7C">
      <w:pPr>
        <w:pStyle w:val="ListParagraph"/>
        <w:spacing w:after="120"/>
        <w:rPr>
          <w:rFonts w:cstheme="minorHAnsi"/>
        </w:rPr>
      </w:pPr>
      <w:hyperlink r:id="rId23" w:history="1">
        <w:r w:rsidR="00F92E7C" w:rsidRPr="00A47248">
          <w:rPr>
            <w:rStyle w:val="Hyperlink"/>
          </w:rPr>
          <w:t>https://www.heacademy.ac.uk/project-section/external-examining-handbook</w:t>
        </w:r>
      </w:hyperlink>
      <w:r w:rsidR="00F92E7C">
        <w:t xml:space="preserve"> </w:t>
      </w: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1C3996" w:rsidP="005D7758">
      <w:pPr>
        <w:spacing w:after="0"/>
        <w:rPr>
          <w:rFonts w:cstheme="minorHAnsi"/>
        </w:rPr>
      </w:pPr>
    </w:p>
    <w:p w:rsidR="001C3996" w:rsidRDefault="00D940DD" w:rsidP="00D940DD">
      <w:pPr>
        <w:tabs>
          <w:tab w:val="left" w:pos="2210"/>
        </w:tabs>
        <w:spacing w:after="0"/>
        <w:rPr>
          <w:rFonts w:cstheme="minorHAnsi"/>
        </w:rPr>
      </w:pPr>
      <w:r>
        <w:rPr>
          <w:rFonts w:cstheme="minorHAnsi"/>
        </w:rPr>
        <w:tab/>
      </w:r>
    </w:p>
    <w:p w:rsidR="002A563B" w:rsidRDefault="002A563B" w:rsidP="005D7758">
      <w:pPr>
        <w:spacing w:after="0"/>
        <w:rPr>
          <w:rFonts w:cstheme="minorHAnsi"/>
        </w:rPr>
      </w:pPr>
    </w:p>
    <w:p w:rsidR="002A563B" w:rsidRDefault="002A563B" w:rsidP="005D7758">
      <w:pPr>
        <w:spacing w:after="0"/>
        <w:rPr>
          <w:rFonts w:cstheme="minorHAnsi"/>
        </w:rPr>
      </w:pPr>
    </w:p>
    <w:p w:rsidR="002A563B" w:rsidRDefault="002A563B" w:rsidP="005D7758">
      <w:pPr>
        <w:spacing w:after="0"/>
        <w:rPr>
          <w:rFonts w:cstheme="minorHAnsi"/>
        </w:rPr>
      </w:pPr>
    </w:p>
    <w:p w:rsidR="002A563B" w:rsidRDefault="002A563B" w:rsidP="005D7758">
      <w:pPr>
        <w:spacing w:after="0"/>
        <w:rPr>
          <w:rFonts w:cstheme="minorHAnsi"/>
        </w:rPr>
      </w:pPr>
    </w:p>
    <w:p w:rsidR="002A563B" w:rsidRDefault="002A563B" w:rsidP="005D7758">
      <w:pPr>
        <w:spacing w:after="0"/>
        <w:rPr>
          <w:rFonts w:cstheme="minorHAnsi"/>
        </w:rPr>
      </w:pPr>
    </w:p>
    <w:p w:rsidR="002A563B" w:rsidRDefault="002A563B" w:rsidP="005D7758">
      <w:pPr>
        <w:spacing w:after="0"/>
        <w:rPr>
          <w:rFonts w:cstheme="minorHAnsi"/>
        </w:rPr>
      </w:pPr>
    </w:p>
    <w:p w:rsidR="001C3996" w:rsidRDefault="001C3996" w:rsidP="00A378D8">
      <w:pPr>
        <w:pStyle w:val="Heading1"/>
      </w:pPr>
      <w:bookmarkStart w:id="25" w:name="_Toc101346952"/>
      <w:r w:rsidRPr="00D37ED1">
        <w:lastRenderedPageBreak/>
        <w:t>SECTION 5</w:t>
      </w:r>
      <w:r w:rsidR="00A378D8">
        <w:br/>
      </w:r>
      <w:r w:rsidRPr="00D37ED1">
        <w:t>SENATE REGULATIONS</w:t>
      </w:r>
      <w:bookmarkEnd w:id="25"/>
    </w:p>
    <w:p w:rsidR="00B26EAD" w:rsidRPr="00D37ED1" w:rsidRDefault="00B26EAD" w:rsidP="00B26EAD">
      <w:pPr>
        <w:pStyle w:val="SectionHeader2"/>
      </w:pPr>
    </w:p>
    <w:p w:rsidR="001C3996" w:rsidRDefault="001C3996" w:rsidP="001C3996">
      <w:pPr>
        <w:pStyle w:val="ListParagraph"/>
        <w:numPr>
          <w:ilvl w:val="0"/>
          <w:numId w:val="8"/>
        </w:numPr>
        <w:spacing w:after="0" w:line="360" w:lineRule="auto"/>
        <w:ind w:left="357" w:hanging="357"/>
        <w:rPr>
          <w:rFonts w:cstheme="minorHAnsi"/>
          <w:b/>
        </w:rPr>
      </w:pPr>
      <w:r w:rsidRPr="00D37ED1">
        <w:rPr>
          <w:rFonts w:cstheme="minorHAnsi"/>
          <w:b/>
        </w:rPr>
        <w:t>Regulations governing undergraduate programmes of study (</w:t>
      </w:r>
      <w:hyperlink r:id="rId24" w:history="1">
        <w:r w:rsidRPr="00F92E7C">
          <w:rPr>
            <w:rStyle w:val="Hyperlink"/>
            <w:rFonts w:cstheme="minorHAnsi"/>
            <w:b/>
          </w:rPr>
          <w:t>Senate Regulation 5</w:t>
        </w:r>
      </w:hyperlink>
      <w:r w:rsidRPr="00D37ED1">
        <w:rPr>
          <w:rFonts w:cstheme="minorHAnsi"/>
          <w:b/>
        </w:rPr>
        <w:t>)</w:t>
      </w:r>
    </w:p>
    <w:p w:rsidR="00466A51" w:rsidRPr="00466A51" w:rsidRDefault="00466A51" w:rsidP="00466A51">
      <w:pPr>
        <w:shd w:val="clear" w:color="auto" w:fill="FFFFFF"/>
        <w:ind w:left="426"/>
        <w:rPr>
          <w:rFonts w:cstheme="minorHAnsi"/>
          <w:color w:val="333333"/>
        </w:rPr>
      </w:pPr>
      <w:r w:rsidRPr="00466A51">
        <w:rPr>
          <w:rFonts w:cstheme="minorHAnsi"/>
          <w:b/>
        </w:rPr>
        <w:t xml:space="preserve">Note: </w:t>
      </w:r>
      <w:hyperlink r:id="rId25" w:history="1">
        <w:r w:rsidRPr="00466A51">
          <w:rPr>
            <w:rStyle w:val="Hyperlink"/>
            <w:rFonts w:cstheme="minorHAnsi"/>
            <w:b/>
            <w:bCs/>
          </w:rPr>
          <w:t>Senate Regulation 5, exceptional variation for students graduating in 2020</w:t>
        </w:r>
      </w:hyperlink>
      <w:r w:rsidRPr="00466A51">
        <w:rPr>
          <w:rFonts w:cstheme="minorHAnsi"/>
          <w:color w:val="333333"/>
        </w:rPr>
        <w:t>, incorporating exceptional revisions in response to the Covid-19 pandemic</w:t>
      </w:r>
    </w:p>
    <w:p w:rsidR="00466A51" w:rsidRPr="00466A51" w:rsidRDefault="00466A51" w:rsidP="00466A51">
      <w:pPr>
        <w:numPr>
          <w:ilvl w:val="0"/>
          <w:numId w:val="50"/>
        </w:numPr>
        <w:shd w:val="clear" w:color="auto" w:fill="FFFFFF"/>
        <w:spacing w:after="180" w:line="360" w:lineRule="atLeast"/>
        <w:ind w:left="426" w:firstLine="0"/>
        <w:rPr>
          <w:rFonts w:cstheme="minorHAnsi"/>
          <w:color w:val="333333"/>
        </w:rPr>
      </w:pPr>
      <w:r w:rsidRPr="00466A51">
        <w:rPr>
          <w:rFonts w:cstheme="minorHAnsi"/>
          <w:color w:val="333333"/>
        </w:rPr>
        <w:t>Students graduating in 2020 should consult this Regulation</w:t>
      </w:r>
    </w:p>
    <w:p w:rsidR="00F92E7C" w:rsidRPr="00A162BB" w:rsidRDefault="00466A51" w:rsidP="00466A51">
      <w:pPr>
        <w:numPr>
          <w:ilvl w:val="0"/>
          <w:numId w:val="50"/>
        </w:numPr>
        <w:shd w:val="clear" w:color="auto" w:fill="FFFFFF"/>
        <w:spacing w:after="0" w:line="360" w:lineRule="atLeast"/>
        <w:ind w:left="426" w:firstLine="0"/>
        <w:rPr>
          <w:rStyle w:val="Hyperlink"/>
          <w:rFonts w:cstheme="minorHAnsi"/>
          <w:color w:val="333333"/>
          <w:u w:val="none"/>
        </w:rPr>
      </w:pPr>
      <w:r w:rsidRPr="00466A51">
        <w:rPr>
          <w:rFonts w:cstheme="minorHAnsi"/>
          <w:color w:val="333333"/>
        </w:rPr>
        <w:t>This Regulation should be read in conjunction with the </w:t>
      </w:r>
      <w:hyperlink r:id="rId26" w:history="1">
        <w:r w:rsidRPr="00466A51">
          <w:rPr>
            <w:rStyle w:val="Hyperlink"/>
            <w:rFonts w:cstheme="minorHAnsi"/>
            <w:b/>
            <w:bCs/>
            <w:color w:val="663399"/>
            <w:u w:val="none"/>
          </w:rPr>
          <w:t>Undergraduate Safety Net Policy</w:t>
        </w:r>
      </w:hyperlink>
    </w:p>
    <w:p w:rsidR="00A162BB" w:rsidRPr="00466A51" w:rsidRDefault="00A162BB" w:rsidP="00A162BB">
      <w:pPr>
        <w:shd w:val="clear" w:color="auto" w:fill="FFFFFF"/>
        <w:spacing w:after="0" w:line="360" w:lineRule="atLeast"/>
        <w:ind w:left="426"/>
        <w:rPr>
          <w:rFonts w:cstheme="minorHAnsi"/>
          <w:color w:val="333333"/>
        </w:rPr>
      </w:pPr>
    </w:p>
    <w:p w:rsidR="001C3996" w:rsidRDefault="001C3996" w:rsidP="001C3996">
      <w:pPr>
        <w:pStyle w:val="ListParagraph"/>
        <w:numPr>
          <w:ilvl w:val="0"/>
          <w:numId w:val="8"/>
        </w:numPr>
        <w:spacing w:after="0" w:line="360" w:lineRule="auto"/>
        <w:ind w:left="357" w:hanging="357"/>
        <w:rPr>
          <w:rFonts w:cstheme="minorHAnsi"/>
          <w:b/>
        </w:rPr>
      </w:pPr>
      <w:r w:rsidRPr="00D37ED1">
        <w:rPr>
          <w:rFonts w:cstheme="minorHAnsi"/>
          <w:b/>
        </w:rPr>
        <w:t>Regulations governing taught postgraduate programmes of study (</w:t>
      </w:r>
      <w:hyperlink r:id="rId27" w:history="1">
        <w:r w:rsidRPr="00F92E7C">
          <w:rPr>
            <w:rStyle w:val="Hyperlink"/>
            <w:rFonts w:cstheme="minorHAnsi"/>
            <w:b/>
          </w:rPr>
          <w:t>Senate Regulation 6</w:t>
        </w:r>
      </w:hyperlink>
      <w:r w:rsidRPr="00D37ED1">
        <w:rPr>
          <w:rFonts w:cstheme="minorHAnsi"/>
          <w:b/>
        </w:rPr>
        <w:t>)</w:t>
      </w:r>
    </w:p>
    <w:p w:rsidR="00F92E7C" w:rsidRPr="00F92E7C" w:rsidRDefault="00466A51" w:rsidP="00466A51">
      <w:pPr>
        <w:ind w:left="357"/>
        <w:rPr>
          <w:rFonts w:cstheme="minorHAnsi"/>
          <w:b/>
        </w:rPr>
      </w:pPr>
      <w:r>
        <w:rPr>
          <w:rFonts w:cstheme="minorHAnsi"/>
        </w:rPr>
        <w:t xml:space="preserve">Note: </w:t>
      </w:r>
      <w:hyperlink r:id="rId28" w:history="1">
        <w:r w:rsidR="00F92E7C" w:rsidRPr="00F92E7C">
          <w:rPr>
            <w:rStyle w:val="Hyperlink"/>
            <w:rFonts w:cstheme="minorHAnsi"/>
            <w:b/>
            <w:bCs/>
            <w:color w:val="663399"/>
            <w:u w:val="none"/>
            <w:shd w:val="clear" w:color="auto" w:fill="FFFFFF"/>
          </w:rPr>
          <w:t>Regulations governing taught postgraduate programmes of study, exceptional variations</w:t>
        </w:r>
      </w:hyperlink>
      <w:r w:rsidR="00F92E7C" w:rsidRPr="00F92E7C">
        <w:rPr>
          <w:rFonts w:cstheme="minorHAnsi"/>
          <w:color w:val="333333"/>
          <w:shd w:val="clear" w:color="auto" w:fill="FFFFFF"/>
        </w:rPr>
        <w:t>, apply to all taught postgraduate programmes regardless of mode of study (campus based, distance learning or part time) where a student was studying modules which were not complete by 16 March 2020.  This also applies to modules which were commenced but not completed before 27 September 2020</w:t>
      </w:r>
      <w:r w:rsidR="00D54A06">
        <w:rPr>
          <w:rFonts w:cstheme="minorHAnsi"/>
          <w:color w:val="333333"/>
          <w:shd w:val="clear" w:color="auto" w:fill="FFFFFF"/>
        </w:rPr>
        <w:t>.</w:t>
      </w:r>
      <w:r w:rsidR="00D54A06" w:rsidRPr="00F92E7C">
        <w:rPr>
          <w:rFonts w:cstheme="minorHAnsi"/>
          <w:color w:val="333333"/>
          <w:shd w:val="clear" w:color="auto" w:fill="FFFFFF"/>
        </w:rPr>
        <w:t> This</w:t>
      </w:r>
      <w:r w:rsidR="00F92E7C" w:rsidRPr="00F92E7C">
        <w:rPr>
          <w:rFonts w:cstheme="minorHAnsi"/>
          <w:color w:val="333333"/>
          <w:shd w:val="clear" w:color="auto" w:fill="FFFFFF"/>
        </w:rPr>
        <w:t xml:space="preserve"> regulation should be read in conjunction with the </w:t>
      </w:r>
      <w:hyperlink r:id="rId29" w:history="1">
        <w:r w:rsidR="00F92E7C" w:rsidRPr="00F92E7C">
          <w:rPr>
            <w:rStyle w:val="Hyperlink"/>
            <w:rFonts w:cstheme="minorHAnsi"/>
            <w:b/>
            <w:bCs/>
            <w:color w:val="663399"/>
            <w:u w:val="none"/>
            <w:shd w:val="clear" w:color="auto" w:fill="FFFFFF"/>
          </w:rPr>
          <w:t>PGT Safety Net Policy</w:t>
        </w:r>
      </w:hyperlink>
      <w:r w:rsidR="00F92E7C" w:rsidRPr="00F92E7C">
        <w:rPr>
          <w:rFonts w:cstheme="minorHAnsi"/>
          <w:color w:val="333333"/>
          <w:shd w:val="clear" w:color="auto" w:fill="FFFFFF"/>
        </w:rPr>
        <w:t>.</w:t>
      </w:r>
    </w:p>
    <w:p w:rsidR="001C3996" w:rsidRPr="00D37ED1" w:rsidRDefault="001C3996" w:rsidP="001C3996">
      <w:pPr>
        <w:pStyle w:val="ListParagraph"/>
        <w:numPr>
          <w:ilvl w:val="0"/>
          <w:numId w:val="8"/>
        </w:numPr>
        <w:spacing w:after="0" w:line="360" w:lineRule="auto"/>
        <w:ind w:left="357" w:hanging="357"/>
        <w:rPr>
          <w:rFonts w:cstheme="minorHAnsi"/>
          <w:b/>
        </w:rPr>
      </w:pPr>
      <w:r w:rsidRPr="00D37ED1">
        <w:rPr>
          <w:rFonts w:cstheme="minorHAnsi"/>
          <w:b/>
        </w:rPr>
        <w:t>Regulations governing the assessment of taught programmes (</w:t>
      </w:r>
      <w:hyperlink r:id="rId30" w:history="1">
        <w:r w:rsidRPr="00F92E7C">
          <w:rPr>
            <w:rStyle w:val="Hyperlink"/>
            <w:rFonts w:cstheme="minorHAnsi"/>
            <w:b/>
          </w:rPr>
          <w:t>Senate Regulation 7</w:t>
        </w:r>
      </w:hyperlink>
      <w:r w:rsidRPr="00D37ED1">
        <w:rPr>
          <w:rFonts w:cstheme="minorHAnsi"/>
          <w:b/>
        </w:rPr>
        <w:t>)</w:t>
      </w:r>
    </w:p>
    <w:p w:rsidR="00765461" w:rsidRPr="00204D3A" w:rsidRDefault="001C3996" w:rsidP="005D7758">
      <w:pPr>
        <w:pStyle w:val="ListParagraph"/>
        <w:numPr>
          <w:ilvl w:val="0"/>
          <w:numId w:val="8"/>
        </w:numPr>
        <w:spacing w:after="0" w:line="360" w:lineRule="auto"/>
        <w:ind w:left="357" w:hanging="357"/>
        <w:rPr>
          <w:rFonts w:cstheme="minorHAnsi"/>
        </w:rPr>
      </w:pPr>
      <w:r w:rsidRPr="00136256">
        <w:rPr>
          <w:rFonts w:cstheme="minorHAnsi"/>
          <w:b/>
        </w:rPr>
        <w:t>Regulations governing student d</w:t>
      </w:r>
      <w:r w:rsidR="009C4B23" w:rsidRPr="00136256">
        <w:rPr>
          <w:rFonts w:cstheme="minorHAnsi"/>
          <w:b/>
        </w:rPr>
        <w:t>iscipline (</w:t>
      </w:r>
      <w:hyperlink r:id="rId31" w:history="1">
        <w:r w:rsidR="009C4B23" w:rsidRPr="00F92E7C">
          <w:rPr>
            <w:rStyle w:val="Hyperlink"/>
            <w:rFonts w:cstheme="minorHAnsi"/>
            <w:b/>
          </w:rPr>
          <w:t>Senate Regulation 11</w:t>
        </w:r>
      </w:hyperlink>
      <w:r w:rsidR="009C4B23" w:rsidRPr="00136256">
        <w:rPr>
          <w:rFonts w:cstheme="minorHAnsi"/>
          <w:b/>
        </w:rPr>
        <w:t>)</w:t>
      </w:r>
    </w:p>
    <w:p w:rsidR="00035B61" w:rsidRPr="008405D6" w:rsidRDefault="00035B61" w:rsidP="00A162BB">
      <w:pPr>
        <w:autoSpaceDE w:val="0"/>
        <w:autoSpaceDN w:val="0"/>
        <w:adjustRightInd w:val="0"/>
        <w:spacing w:before="60" w:after="60" w:line="240" w:lineRule="auto"/>
        <w:rPr>
          <w:rFonts w:cstheme="minorHAnsi"/>
          <w:b/>
        </w:rPr>
      </w:pPr>
    </w:p>
    <w:sectPr w:rsidR="00035B61" w:rsidRPr="008405D6" w:rsidSect="00D63C7E">
      <w:headerReference w:type="default" r:id="rId32"/>
      <w:footerReference w:type="default" r:id="rId33"/>
      <w:headerReference w:type="first" r:id="rId34"/>
      <w:footerReference w:type="first" r:id="rId3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F6" w:rsidRDefault="000063F6" w:rsidP="00D37ED1">
      <w:pPr>
        <w:spacing w:after="0" w:line="240" w:lineRule="auto"/>
      </w:pPr>
      <w:r>
        <w:separator/>
      </w:r>
    </w:p>
  </w:endnote>
  <w:endnote w:type="continuationSeparator" w:id="0">
    <w:p w:rsidR="000063F6" w:rsidRDefault="000063F6" w:rsidP="00D3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Default="000063F6" w:rsidP="002A563B">
    <w:pPr>
      <w:pStyle w:val="Footer"/>
      <w:tabs>
        <w:tab w:val="left" w:pos="5280"/>
      </w:tabs>
    </w:pPr>
    <w:r>
      <w:tab/>
    </w:r>
    <w:sdt>
      <w:sdtPr>
        <w:id w:val="-1321808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05C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Default="000063F6" w:rsidP="002A563B">
    <w:pPr>
      <w:pStyle w:val="Footer"/>
      <w:tabs>
        <w:tab w:val="left" w:pos="5280"/>
      </w:tabs>
    </w:pPr>
    <w:r>
      <w:tab/>
    </w:r>
    <w:sdt>
      <w:sdtPr>
        <w:id w:val="-8642068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05C8">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Default="000063F6" w:rsidP="002A563B">
    <w:pPr>
      <w:pStyle w:val="Footer"/>
      <w:tabs>
        <w:tab w:val="left" w:pos="5280"/>
      </w:tabs>
    </w:pPr>
    <w:r>
      <w:tab/>
    </w:r>
    <w:sdt>
      <w:sdtPr>
        <w:id w:val="12687385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05C8">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D63C7E" w:rsidRDefault="000063F6" w:rsidP="00D63C7E">
    <w:pPr>
      <w:pStyle w:val="Footer"/>
      <w:tabs>
        <w:tab w:val="left" w:pos="5280"/>
      </w:tabs>
    </w:pPr>
    <w:r>
      <w:tab/>
    </w:r>
    <w:sdt>
      <w:sdtPr>
        <w:id w:val="-553381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05C8">
          <w:rPr>
            <w:noProof/>
          </w:rPr>
          <w:t>13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66334E" w:rsidRDefault="000063F6" w:rsidP="00D63C7E">
    <w:pPr>
      <w:pStyle w:val="Footer"/>
      <w:tabs>
        <w:tab w:val="left" w:pos="5280"/>
      </w:tabs>
    </w:pPr>
    <w:r>
      <w:tab/>
    </w:r>
    <w:sdt>
      <w:sdtPr>
        <w:id w:val="-13960412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05C8">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F6" w:rsidRDefault="000063F6" w:rsidP="00D37ED1">
      <w:pPr>
        <w:spacing w:after="0" w:line="240" w:lineRule="auto"/>
      </w:pPr>
      <w:r>
        <w:separator/>
      </w:r>
    </w:p>
  </w:footnote>
  <w:footnote w:type="continuationSeparator" w:id="0">
    <w:p w:rsidR="000063F6" w:rsidRDefault="000063F6" w:rsidP="00D3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AD76E5" w:rsidRDefault="000063F6">
    <w:pPr>
      <w:pStyle w:val="Header"/>
      <w:rPr>
        <w:b/>
      </w:rPr>
    </w:pPr>
    <w:r w:rsidRPr="00216434">
      <w:rPr>
        <w:b/>
      </w:rPr>
      <w:t>UNIVERSITY OF LEICESTER</w:t>
    </w:r>
    <w:r w:rsidRPr="00216434">
      <w:rPr>
        <w:b/>
      </w:rPr>
      <w:tab/>
    </w:r>
    <w:r w:rsidRPr="00216434">
      <w:rPr>
        <w:b/>
      </w:rPr>
      <w:tab/>
      <w:t>Ext</w:t>
    </w:r>
    <w:r>
      <w:rPr>
        <w:b/>
      </w:rPr>
      <w:t xml:space="preserve">ernal Examiner Handbook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AD76E5" w:rsidRDefault="000063F6">
    <w:pPr>
      <w:pStyle w:val="Header"/>
      <w:rPr>
        <w:b/>
      </w:rPr>
    </w:pPr>
    <w:r w:rsidRPr="00216434">
      <w:rPr>
        <w:b/>
      </w:rPr>
      <w:t>UNIVERSITY OF LEICESTER</w:t>
    </w:r>
    <w:r w:rsidRPr="00216434">
      <w:rPr>
        <w:b/>
      </w:rPr>
      <w:tab/>
    </w:r>
    <w:r w:rsidRPr="00216434">
      <w:rPr>
        <w:b/>
      </w:rPr>
      <w:tab/>
      <w:t>Ext</w:t>
    </w:r>
    <w:r>
      <w:rPr>
        <w:b/>
      </w:rPr>
      <w:t xml:space="preserve">ernal Examiner Handbook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66334E" w:rsidRDefault="000063F6" w:rsidP="0066334E">
    <w:pPr>
      <w:pStyle w:val="Header"/>
    </w:pPr>
    <w:r w:rsidRPr="00216434">
      <w:rPr>
        <w:b/>
      </w:rPr>
      <w:t>UNIVERSITY OF LEICESTER</w:t>
    </w:r>
    <w:r w:rsidRPr="00216434">
      <w:rPr>
        <w:b/>
      </w:rPr>
      <w:tab/>
    </w:r>
    <w:r w:rsidRPr="00216434">
      <w:rPr>
        <w:b/>
      </w:rPr>
      <w:tab/>
      <w:t>Ext</w:t>
    </w:r>
    <w:r>
      <w:rPr>
        <w:b/>
      </w:rPr>
      <w:t>ernal Examiner Handbook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Default="000063F6" w:rsidP="002A563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F6" w:rsidRPr="00803384" w:rsidRDefault="000063F6" w:rsidP="002A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2D1"/>
    <w:multiLevelType w:val="hybridMultilevel"/>
    <w:tmpl w:val="1A6C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D57F9"/>
    <w:multiLevelType w:val="hybridMultilevel"/>
    <w:tmpl w:val="7A046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E160B0"/>
    <w:multiLevelType w:val="multilevel"/>
    <w:tmpl w:val="06FEBEB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8917D8"/>
    <w:multiLevelType w:val="hybridMultilevel"/>
    <w:tmpl w:val="E536D7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233182"/>
    <w:multiLevelType w:val="hybridMultilevel"/>
    <w:tmpl w:val="1A3E4108"/>
    <w:lvl w:ilvl="0" w:tplc="08090001">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Courier New" w:hint="default"/>
      </w:rPr>
    </w:lvl>
    <w:lvl w:ilvl="2" w:tplc="08090005">
      <w:start w:val="1"/>
      <w:numFmt w:val="bullet"/>
      <w:lvlText w:val=""/>
      <w:lvlJc w:val="left"/>
      <w:pPr>
        <w:tabs>
          <w:tab w:val="num" w:pos="3300"/>
        </w:tabs>
        <w:ind w:left="3300" w:hanging="360"/>
      </w:pPr>
      <w:rPr>
        <w:rFonts w:ascii="Wingdings" w:hAnsi="Wingdings" w:hint="default"/>
      </w:rPr>
    </w:lvl>
    <w:lvl w:ilvl="3" w:tplc="08090001">
      <w:start w:val="1"/>
      <w:numFmt w:val="bullet"/>
      <w:lvlText w:val=""/>
      <w:lvlJc w:val="left"/>
      <w:pPr>
        <w:tabs>
          <w:tab w:val="num" w:pos="4020"/>
        </w:tabs>
        <w:ind w:left="4020" w:hanging="360"/>
      </w:pPr>
      <w:rPr>
        <w:rFonts w:ascii="Symbol" w:hAnsi="Symbol" w:hint="default"/>
      </w:rPr>
    </w:lvl>
    <w:lvl w:ilvl="4" w:tplc="08090003">
      <w:start w:val="1"/>
      <w:numFmt w:val="bullet"/>
      <w:lvlText w:val="o"/>
      <w:lvlJc w:val="left"/>
      <w:pPr>
        <w:tabs>
          <w:tab w:val="num" w:pos="4740"/>
        </w:tabs>
        <w:ind w:left="4740" w:hanging="360"/>
      </w:pPr>
      <w:rPr>
        <w:rFonts w:ascii="Courier New" w:hAnsi="Courier New" w:cs="Courier New" w:hint="default"/>
      </w:rPr>
    </w:lvl>
    <w:lvl w:ilvl="5" w:tplc="08090005">
      <w:start w:val="1"/>
      <w:numFmt w:val="bullet"/>
      <w:lvlText w:val=""/>
      <w:lvlJc w:val="left"/>
      <w:pPr>
        <w:tabs>
          <w:tab w:val="num" w:pos="5460"/>
        </w:tabs>
        <w:ind w:left="5460" w:hanging="360"/>
      </w:pPr>
      <w:rPr>
        <w:rFonts w:ascii="Wingdings" w:hAnsi="Wingdings" w:hint="default"/>
      </w:rPr>
    </w:lvl>
    <w:lvl w:ilvl="6" w:tplc="08090001">
      <w:start w:val="1"/>
      <w:numFmt w:val="bullet"/>
      <w:lvlText w:val=""/>
      <w:lvlJc w:val="left"/>
      <w:pPr>
        <w:tabs>
          <w:tab w:val="num" w:pos="6180"/>
        </w:tabs>
        <w:ind w:left="6180" w:hanging="360"/>
      </w:pPr>
      <w:rPr>
        <w:rFonts w:ascii="Symbol" w:hAnsi="Symbol" w:hint="default"/>
      </w:rPr>
    </w:lvl>
    <w:lvl w:ilvl="7" w:tplc="08090003">
      <w:start w:val="1"/>
      <w:numFmt w:val="bullet"/>
      <w:lvlText w:val="o"/>
      <w:lvlJc w:val="left"/>
      <w:pPr>
        <w:tabs>
          <w:tab w:val="num" w:pos="6900"/>
        </w:tabs>
        <w:ind w:left="6900" w:hanging="360"/>
      </w:pPr>
      <w:rPr>
        <w:rFonts w:ascii="Courier New" w:hAnsi="Courier New" w:cs="Courier New" w:hint="default"/>
      </w:rPr>
    </w:lvl>
    <w:lvl w:ilvl="8" w:tplc="08090005">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0FF31323"/>
    <w:multiLevelType w:val="hybridMultilevel"/>
    <w:tmpl w:val="BA48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980"/>
    <w:multiLevelType w:val="hybridMultilevel"/>
    <w:tmpl w:val="BAE80F2A"/>
    <w:lvl w:ilvl="0" w:tplc="73CCC9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A929FA"/>
    <w:multiLevelType w:val="hybridMultilevel"/>
    <w:tmpl w:val="3DE4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D497C"/>
    <w:multiLevelType w:val="hybridMultilevel"/>
    <w:tmpl w:val="B3EE6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C4597"/>
    <w:multiLevelType w:val="multilevel"/>
    <w:tmpl w:val="F63261F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3423E"/>
    <w:multiLevelType w:val="hybridMultilevel"/>
    <w:tmpl w:val="275E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37AB7"/>
    <w:multiLevelType w:val="hybridMultilevel"/>
    <w:tmpl w:val="1EAC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B3604"/>
    <w:multiLevelType w:val="multilevel"/>
    <w:tmpl w:val="C62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E5DEF"/>
    <w:multiLevelType w:val="hybridMultilevel"/>
    <w:tmpl w:val="922C2F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070821"/>
    <w:multiLevelType w:val="hybridMultilevel"/>
    <w:tmpl w:val="1848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62086"/>
    <w:multiLevelType w:val="multilevel"/>
    <w:tmpl w:val="CC2A00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461FBA"/>
    <w:multiLevelType w:val="hybridMultilevel"/>
    <w:tmpl w:val="FDB6C198"/>
    <w:lvl w:ilvl="0" w:tplc="7B722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E553C"/>
    <w:multiLevelType w:val="hybridMultilevel"/>
    <w:tmpl w:val="40460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B5763D"/>
    <w:multiLevelType w:val="multilevel"/>
    <w:tmpl w:val="0A5E21F2"/>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CC4624"/>
    <w:multiLevelType w:val="hybridMultilevel"/>
    <w:tmpl w:val="7B085902"/>
    <w:lvl w:ilvl="0" w:tplc="2DFC8D9C">
      <w:start w:val="1"/>
      <w:numFmt w:val="decimal"/>
      <w:pStyle w:val="numberedpara"/>
      <w:lvlText w:val="%1."/>
      <w:lvlJc w:val="left"/>
      <w:pPr>
        <w:ind w:left="360" w:hanging="360"/>
      </w:pPr>
      <w:rPr>
        <w:rFonts w:asciiTheme="minorHAnsi" w:hAnsiTheme="minorHAnsi" w:hint="default"/>
        <w:sz w:val="22"/>
        <w:szCs w:val="22"/>
      </w:rPr>
    </w:lvl>
    <w:lvl w:ilvl="1" w:tplc="5E822F5E">
      <w:start w:val="1"/>
      <w:numFmt w:val="lowerLetter"/>
      <w:pStyle w:val="letteredpara"/>
      <w:lvlText w:val="%2."/>
      <w:lvlJc w:val="left"/>
      <w:pPr>
        <w:ind w:left="1080" w:hanging="360"/>
      </w:pPr>
    </w:lvl>
    <w:lvl w:ilvl="2" w:tplc="0809001B">
      <w:start w:val="1"/>
      <w:numFmt w:val="lowerRoman"/>
      <w:lvlText w:val="%3."/>
      <w:lvlJc w:val="right"/>
      <w:pPr>
        <w:ind w:left="1800" w:hanging="180"/>
      </w:pPr>
    </w:lvl>
    <w:lvl w:ilvl="3" w:tplc="08668926">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5E1BEC"/>
    <w:multiLevelType w:val="multilevel"/>
    <w:tmpl w:val="D4401B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2C0703"/>
    <w:multiLevelType w:val="hybridMultilevel"/>
    <w:tmpl w:val="1E502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13AAB"/>
    <w:multiLevelType w:val="hybridMultilevel"/>
    <w:tmpl w:val="F79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34962"/>
    <w:multiLevelType w:val="multilevel"/>
    <w:tmpl w:val="F6165A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BF651C"/>
    <w:multiLevelType w:val="multilevel"/>
    <w:tmpl w:val="599E7400"/>
    <w:lvl w:ilvl="0">
      <w:start w:val="3"/>
      <w:numFmt w:val="decimal"/>
      <w:lvlText w:val="%1"/>
      <w:lvlJc w:val="left"/>
      <w:pPr>
        <w:ind w:left="375" w:hanging="375"/>
      </w:pPr>
      <w:rPr>
        <w:rFonts w:hint="default"/>
      </w:rPr>
    </w:lvl>
    <w:lvl w:ilvl="1">
      <w:start w:val="6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D2831FF"/>
    <w:multiLevelType w:val="hybridMultilevel"/>
    <w:tmpl w:val="9E7C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00883"/>
    <w:multiLevelType w:val="hybridMultilevel"/>
    <w:tmpl w:val="54524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050740"/>
    <w:multiLevelType w:val="multilevel"/>
    <w:tmpl w:val="BAFCD48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946376"/>
    <w:multiLevelType w:val="multilevel"/>
    <w:tmpl w:val="024C5A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A86877"/>
    <w:multiLevelType w:val="hybridMultilevel"/>
    <w:tmpl w:val="1DFE0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EB69B7"/>
    <w:multiLevelType w:val="hybridMultilevel"/>
    <w:tmpl w:val="D632B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E7293"/>
    <w:multiLevelType w:val="hybridMultilevel"/>
    <w:tmpl w:val="AE6E26AA"/>
    <w:lvl w:ilvl="0" w:tplc="71381302">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A30F4B"/>
    <w:multiLevelType w:val="hybridMultilevel"/>
    <w:tmpl w:val="21D0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2E71E4"/>
    <w:multiLevelType w:val="hybridMultilevel"/>
    <w:tmpl w:val="10D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835B8"/>
    <w:multiLevelType w:val="hybridMultilevel"/>
    <w:tmpl w:val="3F7004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016F"/>
    <w:multiLevelType w:val="multilevel"/>
    <w:tmpl w:val="4C5CF8F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F50BC7"/>
    <w:multiLevelType w:val="multilevel"/>
    <w:tmpl w:val="20C0CD00"/>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8D0ECD"/>
    <w:multiLevelType w:val="multilevel"/>
    <w:tmpl w:val="091E1AE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A26199"/>
    <w:multiLevelType w:val="hybridMultilevel"/>
    <w:tmpl w:val="0928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F29F5"/>
    <w:multiLevelType w:val="multilevel"/>
    <w:tmpl w:val="A6DE3F4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D100A1"/>
    <w:multiLevelType w:val="hybridMultilevel"/>
    <w:tmpl w:val="7ED42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74282"/>
    <w:multiLevelType w:val="hybridMultilevel"/>
    <w:tmpl w:val="53CAF9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933FA"/>
    <w:multiLevelType w:val="hybridMultilevel"/>
    <w:tmpl w:val="5F12C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C77FEB"/>
    <w:multiLevelType w:val="hybridMultilevel"/>
    <w:tmpl w:val="6BF28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C87A51"/>
    <w:multiLevelType w:val="hybridMultilevel"/>
    <w:tmpl w:val="72D6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02CF"/>
    <w:multiLevelType w:val="multilevel"/>
    <w:tmpl w:val="FB2207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223E9B"/>
    <w:multiLevelType w:val="hybridMultilevel"/>
    <w:tmpl w:val="DCB81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BF008F7"/>
    <w:multiLevelType w:val="hybridMultilevel"/>
    <w:tmpl w:val="6BFC0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0D0C47"/>
    <w:multiLevelType w:val="hybridMultilevel"/>
    <w:tmpl w:val="7534C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D72A29"/>
    <w:multiLevelType w:val="multilevel"/>
    <w:tmpl w:val="46C44A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3"/>
  </w:num>
  <w:num w:numId="3">
    <w:abstractNumId w:val="8"/>
  </w:num>
  <w:num w:numId="4">
    <w:abstractNumId w:val="42"/>
  </w:num>
  <w:num w:numId="5">
    <w:abstractNumId w:val="1"/>
  </w:num>
  <w:num w:numId="6">
    <w:abstractNumId w:val="0"/>
  </w:num>
  <w:num w:numId="7">
    <w:abstractNumId w:val="19"/>
  </w:num>
  <w:num w:numId="8">
    <w:abstractNumId w:val="16"/>
  </w:num>
  <w:num w:numId="9">
    <w:abstractNumId w:val="5"/>
  </w:num>
  <w:num w:numId="10">
    <w:abstractNumId w:val="21"/>
  </w:num>
  <w:num w:numId="11">
    <w:abstractNumId w:val="28"/>
  </w:num>
  <w:num w:numId="12">
    <w:abstractNumId w:val="24"/>
  </w:num>
  <w:num w:numId="13">
    <w:abstractNumId w:val="20"/>
  </w:num>
  <w:num w:numId="14">
    <w:abstractNumId w:val="49"/>
  </w:num>
  <w:num w:numId="15">
    <w:abstractNumId w:val="9"/>
  </w:num>
  <w:num w:numId="16">
    <w:abstractNumId w:val="15"/>
  </w:num>
  <w:num w:numId="17">
    <w:abstractNumId w:val="37"/>
  </w:num>
  <w:num w:numId="18">
    <w:abstractNumId w:val="23"/>
  </w:num>
  <w:num w:numId="19">
    <w:abstractNumId w:val="36"/>
  </w:num>
  <w:num w:numId="20">
    <w:abstractNumId w:val="27"/>
  </w:num>
  <w:num w:numId="21">
    <w:abstractNumId w:val="35"/>
  </w:num>
  <w:num w:numId="22">
    <w:abstractNumId w:val="45"/>
  </w:num>
  <w:num w:numId="23">
    <w:abstractNumId w:val="39"/>
  </w:num>
  <w:num w:numId="24">
    <w:abstractNumId w:val="2"/>
  </w:num>
  <w:num w:numId="25">
    <w:abstractNumId w:val="18"/>
  </w:num>
  <w:num w:numId="26">
    <w:abstractNumId w:val="26"/>
  </w:num>
  <w:num w:numId="27">
    <w:abstractNumId w:val="44"/>
  </w:num>
  <w:num w:numId="28">
    <w:abstractNumId w:val="3"/>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4"/>
  </w:num>
  <w:num w:numId="33">
    <w:abstractNumId w:val="41"/>
  </w:num>
  <w:num w:numId="34">
    <w:abstractNumId w:val="13"/>
  </w:num>
  <w:num w:numId="35">
    <w:abstractNumId w:val="48"/>
  </w:num>
  <w:num w:numId="36">
    <w:abstractNumId w:val="43"/>
  </w:num>
  <w:num w:numId="37">
    <w:abstractNumId w:val="47"/>
  </w:num>
  <w:num w:numId="38">
    <w:abstractNumId w:val="29"/>
  </w:num>
  <w:num w:numId="39">
    <w:abstractNumId w:val="6"/>
  </w:num>
  <w:num w:numId="40">
    <w:abstractNumId w:val="30"/>
  </w:num>
  <w:num w:numId="41">
    <w:abstractNumId w:val="11"/>
  </w:num>
  <w:num w:numId="42">
    <w:abstractNumId w:val="7"/>
  </w:num>
  <w:num w:numId="43">
    <w:abstractNumId w:val="22"/>
  </w:num>
  <w:num w:numId="44">
    <w:abstractNumId w:val="10"/>
  </w:num>
  <w:num w:numId="45">
    <w:abstractNumId w:val="40"/>
  </w:num>
  <w:num w:numId="46">
    <w:abstractNumId w:val="38"/>
  </w:num>
  <w:num w:numId="47">
    <w:abstractNumId w:val="25"/>
  </w:num>
  <w:num w:numId="48">
    <w:abstractNumId w:val="31"/>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18"/>
    <w:rsid w:val="000063F6"/>
    <w:rsid w:val="00006F9E"/>
    <w:rsid w:val="00035B61"/>
    <w:rsid w:val="00051C92"/>
    <w:rsid w:val="000538FB"/>
    <w:rsid w:val="00065ED5"/>
    <w:rsid w:val="00077B9B"/>
    <w:rsid w:val="000805C8"/>
    <w:rsid w:val="000B36F2"/>
    <w:rsid w:val="000D2A7F"/>
    <w:rsid w:val="000D7E18"/>
    <w:rsid w:val="001032BC"/>
    <w:rsid w:val="001058A4"/>
    <w:rsid w:val="00136256"/>
    <w:rsid w:val="00140232"/>
    <w:rsid w:val="00157561"/>
    <w:rsid w:val="00166FDC"/>
    <w:rsid w:val="001702DF"/>
    <w:rsid w:val="001764E8"/>
    <w:rsid w:val="001C3996"/>
    <w:rsid w:val="001E29C8"/>
    <w:rsid w:val="001F1EA7"/>
    <w:rsid w:val="00204D3A"/>
    <w:rsid w:val="0020709B"/>
    <w:rsid w:val="00216434"/>
    <w:rsid w:val="002328CB"/>
    <w:rsid w:val="00253001"/>
    <w:rsid w:val="00274D34"/>
    <w:rsid w:val="0029713E"/>
    <w:rsid w:val="002A563B"/>
    <w:rsid w:val="002B2116"/>
    <w:rsid w:val="002B6365"/>
    <w:rsid w:val="002D0047"/>
    <w:rsid w:val="003047B1"/>
    <w:rsid w:val="003116F9"/>
    <w:rsid w:val="00315B25"/>
    <w:rsid w:val="0034237E"/>
    <w:rsid w:val="00365C3B"/>
    <w:rsid w:val="003A2E41"/>
    <w:rsid w:val="003A5ECC"/>
    <w:rsid w:val="003B19CB"/>
    <w:rsid w:val="003E5190"/>
    <w:rsid w:val="00415052"/>
    <w:rsid w:val="00437E08"/>
    <w:rsid w:val="004611E0"/>
    <w:rsid w:val="00466A51"/>
    <w:rsid w:val="004A54F4"/>
    <w:rsid w:val="004B2D06"/>
    <w:rsid w:val="004C51F1"/>
    <w:rsid w:val="004E276B"/>
    <w:rsid w:val="0050504C"/>
    <w:rsid w:val="005079B0"/>
    <w:rsid w:val="00512C9C"/>
    <w:rsid w:val="00512D73"/>
    <w:rsid w:val="00524E4F"/>
    <w:rsid w:val="0052533F"/>
    <w:rsid w:val="005B3882"/>
    <w:rsid w:val="005D7758"/>
    <w:rsid w:val="00612939"/>
    <w:rsid w:val="00621B72"/>
    <w:rsid w:val="006420D8"/>
    <w:rsid w:val="00647B03"/>
    <w:rsid w:val="0066334E"/>
    <w:rsid w:val="00725951"/>
    <w:rsid w:val="0073408B"/>
    <w:rsid w:val="00745754"/>
    <w:rsid w:val="00765461"/>
    <w:rsid w:val="007757A6"/>
    <w:rsid w:val="0078414A"/>
    <w:rsid w:val="007935AA"/>
    <w:rsid w:val="00832CEB"/>
    <w:rsid w:val="008337C8"/>
    <w:rsid w:val="00836A2C"/>
    <w:rsid w:val="008405D6"/>
    <w:rsid w:val="0089437B"/>
    <w:rsid w:val="008A7359"/>
    <w:rsid w:val="008D049A"/>
    <w:rsid w:val="008D20E1"/>
    <w:rsid w:val="008E53A3"/>
    <w:rsid w:val="008F3521"/>
    <w:rsid w:val="008F42F3"/>
    <w:rsid w:val="00942771"/>
    <w:rsid w:val="00943E5B"/>
    <w:rsid w:val="009750E1"/>
    <w:rsid w:val="009870D9"/>
    <w:rsid w:val="009A2294"/>
    <w:rsid w:val="009C2E3E"/>
    <w:rsid w:val="009C4B23"/>
    <w:rsid w:val="009C502C"/>
    <w:rsid w:val="00A162BB"/>
    <w:rsid w:val="00A3363D"/>
    <w:rsid w:val="00A378D8"/>
    <w:rsid w:val="00A427B8"/>
    <w:rsid w:val="00A5292E"/>
    <w:rsid w:val="00A65801"/>
    <w:rsid w:val="00A77CA2"/>
    <w:rsid w:val="00A91D4F"/>
    <w:rsid w:val="00AC0A4E"/>
    <w:rsid w:val="00AD76E5"/>
    <w:rsid w:val="00B1007B"/>
    <w:rsid w:val="00B26EAD"/>
    <w:rsid w:val="00B3446C"/>
    <w:rsid w:val="00B35920"/>
    <w:rsid w:val="00B67497"/>
    <w:rsid w:val="00BA5B26"/>
    <w:rsid w:val="00BB2190"/>
    <w:rsid w:val="00BC0192"/>
    <w:rsid w:val="00C336A6"/>
    <w:rsid w:val="00C65702"/>
    <w:rsid w:val="00C7333D"/>
    <w:rsid w:val="00C84D71"/>
    <w:rsid w:val="00CA4423"/>
    <w:rsid w:val="00CA66BD"/>
    <w:rsid w:val="00CD1D87"/>
    <w:rsid w:val="00CF6896"/>
    <w:rsid w:val="00D12DC5"/>
    <w:rsid w:val="00D37ED1"/>
    <w:rsid w:val="00D430CF"/>
    <w:rsid w:val="00D45559"/>
    <w:rsid w:val="00D54A06"/>
    <w:rsid w:val="00D63C7E"/>
    <w:rsid w:val="00D804AE"/>
    <w:rsid w:val="00D940DD"/>
    <w:rsid w:val="00DB3A05"/>
    <w:rsid w:val="00DB537B"/>
    <w:rsid w:val="00DC4C66"/>
    <w:rsid w:val="00DC5D08"/>
    <w:rsid w:val="00DD10F8"/>
    <w:rsid w:val="00E0000F"/>
    <w:rsid w:val="00E116EE"/>
    <w:rsid w:val="00E32775"/>
    <w:rsid w:val="00E35513"/>
    <w:rsid w:val="00E55316"/>
    <w:rsid w:val="00E57785"/>
    <w:rsid w:val="00E92F5B"/>
    <w:rsid w:val="00EA1B89"/>
    <w:rsid w:val="00EF384A"/>
    <w:rsid w:val="00F23AC0"/>
    <w:rsid w:val="00F36683"/>
    <w:rsid w:val="00F651C0"/>
    <w:rsid w:val="00F757E6"/>
    <w:rsid w:val="00F77783"/>
    <w:rsid w:val="00F854E6"/>
    <w:rsid w:val="00F92E7C"/>
    <w:rsid w:val="00F97F5A"/>
    <w:rsid w:val="00FA116C"/>
    <w:rsid w:val="00FB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D9316D1-C7F4-4264-A5DC-F244743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ectionHeader1"/>
    <w:next w:val="Normal"/>
    <w:link w:val="Heading1Char"/>
    <w:uiPriority w:val="9"/>
    <w:qFormat/>
    <w:rsid w:val="00A378D8"/>
    <w:pPr>
      <w:outlineLvl w:val="0"/>
    </w:pPr>
  </w:style>
  <w:style w:type="paragraph" w:styleId="Heading2">
    <w:name w:val="heading 2"/>
    <w:basedOn w:val="Normal"/>
    <w:next w:val="Normal"/>
    <w:link w:val="Heading2Char"/>
    <w:uiPriority w:val="9"/>
    <w:unhideWhenUsed/>
    <w:qFormat/>
    <w:rsid w:val="00E35513"/>
    <w:pPr>
      <w:spacing w:before="360" w:after="240"/>
      <w:outlineLvl w:val="1"/>
    </w:pPr>
    <w:rPr>
      <w:rFonts w:cstheme="minorHAnsi"/>
      <w:b/>
      <w:sz w:val="28"/>
      <w:szCs w:val="24"/>
    </w:rPr>
  </w:style>
  <w:style w:type="paragraph" w:styleId="Heading3">
    <w:name w:val="heading 3"/>
    <w:basedOn w:val="Heading2"/>
    <w:next w:val="Normal"/>
    <w:link w:val="Heading3Char"/>
    <w:uiPriority w:val="9"/>
    <w:unhideWhenUsed/>
    <w:qFormat/>
    <w:rsid w:val="00A378D8"/>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85"/>
    <w:pPr>
      <w:ind w:left="720"/>
      <w:contextualSpacing/>
    </w:pPr>
  </w:style>
  <w:style w:type="character" w:styleId="Hyperlink">
    <w:name w:val="Hyperlink"/>
    <w:basedOn w:val="DefaultParagraphFont"/>
    <w:uiPriority w:val="99"/>
    <w:unhideWhenUsed/>
    <w:rsid w:val="006420D8"/>
    <w:rPr>
      <w:color w:val="0000FF" w:themeColor="hyperlink"/>
      <w:u w:val="single"/>
    </w:rPr>
  </w:style>
  <w:style w:type="paragraph" w:customStyle="1" w:styleId="Default">
    <w:name w:val="Default"/>
    <w:rsid w:val="002070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A5B26"/>
    <w:rPr>
      <w:color w:val="800080" w:themeColor="followedHyperlink"/>
      <w:u w:val="single"/>
    </w:rPr>
  </w:style>
  <w:style w:type="paragraph" w:styleId="BalloonText">
    <w:name w:val="Balloon Text"/>
    <w:basedOn w:val="Normal"/>
    <w:link w:val="BalloonTextChar"/>
    <w:uiPriority w:val="99"/>
    <w:semiHidden/>
    <w:unhideWhenUsed/>
    <w:rsid w:val="008D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9A"/>
    <w:rPr>
      <w:rFonts w:ascii="Tahoma" w:hAnsi="Tahoma" w:cs="Tahoma"/>
      <w:sz w:val="16"/>
      <w:szCs w:val="16"/>
    </w:rPr>
  </w:style>
  <w:style w:type="table" w:styleId="TableGrid">
    <w:name w:val="Table Grid"/>
    <w:basedOn w:val="TableNormal"/>
    <w:uiPriority w:val="59"/>
    <w:rsid w:val="0062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Normal"/>
    <w:qFormat/>
    <w:rsid w:val="00621B72"/>
    <w:pPr>
      <w:numPr>
        <w:numId w:val="7"/>
      </w:numPr>
      <w:tabs>
        <w:tab w:val="left" w:pos="567"/>
      </w:tabs>
      <w:ind w:left="0" w:firstLine="0"/>
    </w:pPr>
    <w:rPr>
      <w:bCs/>
    </w:rPr>
  </w:style>
  <w:style w:type="paragraph" w:customStyle="1" w:styleId="letteredpara">
    <w:name w:val="lettered para"/>
    <w:basedOn w:val="Normal"/>
    <w:qFormat/>
    <w:rsid w:val="00621B72"/>
    <w:pPr>
      <w:numPr>
        <w:ilvl w:val="1"/>
        <w:numId w:val="7"/>
      </w:numPr>
      <w:ind w:left="567" w:hanging="567"/>
    </w:pPr>
  </w:style>
  <w:style w:type="paragraph" w:styleId="NormalWeb">
    <w:name w:val="Normal (Web)"/>
    <w:basedOn w:val="Normal"/>
    <w:uiPriority w:val="99"/>
    <w:unhideWhenUsed/>
    <w:rsid w:val="00512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2D73"/>
    <w:rPr>
      <w:b/>
      <w:bCs/>
    </w:rPr>
  </w:style>
  <w:style w:type="paragraph" w:styleId="BodyText">
    <w:name w:val="Body Text"/>
    <w:basedOn w:val="Normal"/>
    <w:link w:val="BodyTextChar"/>
    <w:semiHidden/>
    <w:unhideWhenUsed/>
    <w:rsid w:val="00DD10F8"/>
    <w:pPr>
      <w:autoSpaceDE w:val="0"/>
      <w:autoSpaceDN w:val="0"/>
      <w:adjustRightInd w:val="0"/>
      <w:spacing w:after="0" w:line="240" w:lineRule="auto"/>
      <w:ind w:right="790"/>
      <w:jc w:val="both"/>
    </w:pPr>
    <w:rPr>
      <w:rFonts w:ascii="Times" w:eastAsia="Times New Roman" w:hAnsi="Times" w:cs="Times New Roman"/>
      <w:sz w:val="24"/>
      <w:szCs w:val="21"/>
      <w:lang w:val="en-US"/>
    </w:rPr>
  </w:style>
  <w:style w:type="character" w:customStyle="1" w:styleId="BodyTextChar">
    <w:name w:val="Body Text Char"/>
    <w:basedOn w:val="DefaultParagraphFont"/>
    <w:link w:val="BodyText"/>
    <w:semiHidden/>
    <w:rsid w:val="00DD10F8"/>
    <w:rPr>
      <w:rFonts w:ascii="Times" w:eastAsia="Times New Roman" w:hAnsi="Times" w:cs="Times New Roman"/>
      <w:sz w:val="24"/>
      <w:szCs w:val="21"/>
      <w:lang w:val="en-US"/>
    </w:rPr>
  </w:style>
  <w:style w:type="paragraph" w:styleId="BodyTextIndent2">
    <w:name w:val="Body Text Indent 2"/>
    <w:basedOn w:val="Normal"/>
    <w:link w:val="BodyTextIndent2Char"/>
    <w:semiHidden/>
    <w:unhideWhenUsed/>
    <w:rsid w:val="00DD10F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D10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D1"/>
  </w:style>
  <w:style w:type="paragraph" w:styleId="Footer">
    <w:name w:val="footer"/>
    <w:basedOn w:val="Normal"/>
    <w:link w:val="FooterChar"/>
    <w:uiPriority w:val="99"/>
    <w:unhideWhenUsed/>
    <w:rsid w:val="00D3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D1"/>
  </w:style>
  <w:style w:type="character" w:customStyle="1" w:styleId="Heading1Char">
    <w:name w:val="Heading 1 Char"/>
    <w:basedOn w:val="DefaultParagraphFont"/>
    <w:link w:val="Heading1"/>
    <w:uiPriority w:val="9"/>
    <w:rsid w:val="00A378D8"/>
    <w:rPr>
      <w:rFonts w:cstheme="minorHAnsi"/>
      <w:b/>
      <w:sz w:val="28"/>
      <w:szCs w:val="28"/>
    </w:rPr>
  </w:style>
  <w:style w:type="character" w:customStyle="1" w:styleId="Heading2Char">
    <w:name w:val="Heading 2 Char"/>
    <w:basedOn w:val="DefaultParagraphFont"/>
    <w:link w:val="Heading2"/>
    <w:uiPriority w:val="9"/>
    <w:rsid w:val="00E35513"/>
    <w:rPr>
      <w:rFonts w:cstheme="minorHAnsi"/>
      <w:b/>
      <w:sz w:val="28"/>
      <w:szCs w:val="24"/>
    </w:rPr>
  </w:style>
  <w:style w:type="paragraph" w:customStyle="1" w:styleId="SectionHeader1">
    <w:name w:val="Section Header 1"/>
    <w:basedOn w:val="Normal"/>
    <w:link w:val="SectionHeader1Char"/>
    <w:qFormat/>
    <w:rsid w:val="00B26EAD"/>
    <w:pPr>
      <w:spacing w:after="0"/>
    </w:pPr>
    <w:rPr>
      <w:rFonts w:cstheme="minorHAnsi"/>
      <w:b/>
      <w:sz w:val="28"/>
      <w:szCs w:val="28"/>
    </w:rPr>
  </w:style>
  <w:style w:type="paragraph" w:customStyle="1" w:styleId="SectionHeader2">
    <w:name w:val="Section Header 2"/>
    <w:basedOn w:val="Normal"/>
    <w:link w:val="SectionHeader2Char"/>
    <w:qFormat/>
    <w:rsid w:val="00B26EAD"/>
    <w:pPr>
      <w:spacing w:after="0"/>
    </w:pPr>
    <w:rPr>
      <w:b/>
      <w:sz w:val="28"/>
      <w:szCs w:val="28"/>
    </w:rPr>
  </w:style>
  <w:style w:type="character" w:customStyle="1" w:styleId="SectionHeader1Char">
    <w:name w:val="Section Header 1 Char"/>
    <w:basedOn w:val="DefaultParagraphFont"/>
    <w:link w:val="SectionHeader1"/>
    <w:rsid w:val="00B26EAD"/>
    <w:rPr>
      <w:rFonts w:cstheme="minorHAnsi"/>
      <w:b/>
      <w:sz w:val="28"/>
      <w:szCs w:val="28"/>
    </w:rPr>
  </w:style>
  <w:style w:type="paragraph" w:customStyle="1" w:styleId="SectionHeader3">
    <w:name w:val="Section Header 3"/>
    <w:basedOn w:val="Normal"/>
    <w:link w:val="SectionHeader3Char"/>
    <w:qFormat/>
    <w:rsid w:val="00B26EAD"/>
    <w:pPr>
      <w:spacing w:after="0"/>
    </w:pPr>
    <w:rPr>
      <w:b/>
      <w:sz w:val="24"/>
      <w:szCs w:val="24"/>
    </w:rPr>
  </w:style>
  <w:style w:type="character" w:customStyle="1" w:styleId="SectionHeader2Char">
    <w:name w:val="Section Header 2 Char"/>
    <w:basedOn w:val="DefaultParagraphFont"/>
    <w:link w:val="SectionHeader2"/>
    <w:rsid w:val="00B26EAD"/>
    <w:rPr>
      <w:b/>
      <w:sz w:val="28"/>
      <w:szCs w:val="28"/>
    </w:rPr>
  </w:style>
  <w:style w:type="character" w:customStyle="1" w:styleId="Heading3Char">
    <w:name w:val="Heading 3 Char"/>
    <w:basedOn w:val="DefaultParagraphFont"/>
    <w:link w:val="Heading3"/>
    <w:uiPriority w:val="9"/>
    <w:rsid w:val="00A378D8"/>
    <w:rPr>
      <w:rFonts w:cstheme="minorHAnsi"/>
      <w:b/>
      <w:sz w:val="24"/>
      <w:szCs w:val="24"/>
    </w:rPr>
  </w:style>
  <w:style w:type="character" w:customStyle="1" w:styleId="SectionHeader3Char">
    <w:name w:val="Section Header 3 Char"/>
    <w:basedOn w:val="DefaultParagraphFont"/>
    <w:link w:val="SectionHeader3"/>
    <w:rsid w:val="00B26EAD"/>
    <w:rPr>
      <w:b/>
      <w:sz w:val="24"/>
      <w:szCs w:val="24"/>
    </w:rPr>
  </w:style>
  <w:style w:type="paragraph" w:customStyle="1" w:styleId="body">
    <w:name w:val="body"/>
    <w:basedOn w:val="Normal"/>
    <w:link w:val="bodyChar"/>
    <w:qFormat/>
    <w:rsid w:val="00A378D8"/>
    <w:rPr>
      <w:rFonts w:cstheme="minorHAnsi"/>
    </w:rPr>
  </w:style>
  <w:style w:type="paragraph" w:styleId="TOC2">
    <w:name w:val="toc 2"/>
    <w:basedOn w:val="Normal"/>
    <w:next w:val="Normal"/>
    <w:autoRedefine/>
    <w:uiPriority w:val="39"/>
    <w:unhideWhenUsed/>
    <w:rsid w:val="00E35513"/>
    <w:pPr>
      <w:spacing w:after="100"/>
      <w:ind w:left="220"/>
    </w:pPr>
  </w:style>
  <w:style w:type="character" w:customStyle="1" w:styleId="bodyChar">
    <w:name w:val="body Char"/>
    <w:basedOn w:val="DefaultParagraphFont"/>
    <w:link w:val="body"/>
    <w:rsid w:val="00A378D8"/>
    <w:rPr>
      <w:rFonts w:cstheme="minorHAnsi"/>
    </w:rPr>
  </w:style>
  <w:style w:type="paragraph" w:styleId="TOC3">
    <w:name w:val="toc 3"/>
    <w:basedOn w:val="Normal"/>
    <w:next w:val="Normal"/>
    <w:autoRedefine/>
    <w:uiPriority w:val="39"/>
    <w:unhideWhenUsed/>
    <w:rsid w:val="00E35513"/>
    <w:pPr>
      <w:spacing w:after="100"/>
      <w:ind w:left="440"/>
    </w:pPr>
  </w:style>
  <w:style w:type="paragraph" w:styleId="TOC1">
    <w:name w:val="toc 1"/>
    <w:basedOn w:val="Normal"/>
    <w:next w:val="Normal"/>
    <w:autoRedefine/>
    <w:uiPriority w:val="39"/>
    <w:unhideWhenUsed/>
    <w:rsid w:val="00E35513"/>
    <w:pPr>
      <w:spacing w:after="100"/>
    </w:pPr>
  </w:style>
  <w:style w:type="table" w:customStyle="1" w:styleId="TableGrid1">
    <w:name w:val="Table Grid1"/>
    <w:basedOn w:val="TableNormal"/>
    <w:next w:val="TableGrid"/>
    <w:rsid w:val="004E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E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NameHeading">
    <w:name w:val="Department Name Heading"/>
    <w:basedOn w:val="Normal"/>
    <w:qFormat/>
    <w:rsid w:val="004E276B"/>
    <w:pPr>
      <w:overflowPunct w:val="0"/>
      <w:autoSpaceDE w:val="0"/>
      <w:autoSpaceDN w:val="0"/>
      <w:adjustRightInd w:val="0"/>
      <w:spacing w:after="40" w:line="240" w:lineRule="auto"/>
      <w:jc w:val="right"/>
      <w:textAlignment w:val="baseline"/>
    </w:pPr>
    <w:rPr>
      <w:rFonts w:eastAsia="Times New Roman" w:cs="Times New Roman"/>
      <w:b/>
      <w:sz w:val="28"/>
      <w:szCs w:val="28"/>
      <w:lang w:eastAsia="en-GB"/>
    </w:rPr>
  </w:style>
  <w:style w:type="table" w:customStyle="1" w:styleId="TableGrid21">
    <w:name w:val="Table Grid21"/>
    <w:basedOn w:val="TableNormal"/>
    <w:next w:val="TableGrid"/>
    <w:rsid w:val="004E27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92E7C"/>
    <w:rPr>
      <w:sz w:val="16"/>
      <w:szCs w:val="16"/>
    </w:rPr>
  </w:style>
  <w:style w:type="paragraph" w:styleId="CommentText">
    <w:name w:val="annotation text"/>
    <w:basedOn w:val="Normal"/>
    <w:link w:val="CommentTextChar"/>
    <w:uiPriority w:val="99"/>
    <w:semiHidden/>
    <w:unhideWhenUsed/>
    <w:rsid w:val="00F92E7C"/>
    <w:pPr>
      <w:spacing w:line="240" w:lineRule="auto"/>
    </w:pPr>
    <w:rPr>
      <w:sz w:val="20"/>
      <w:szCs w:val="20"/>
    </w:rPr>
  </w:style>
  <w:style w:type="character" w:customStyle="1" w:styleId="CommentTextChar">
    <w:name w:val="Comment Text Char"/>
    <w:basedOn w:val="DefaultParagraphFont"/>
    <w:link w:val="CommentText"/>
    <w:uiPriority w:val="99"/>
    <w:semiHidden/>
    <w:rsid w:val="00F92E7C"/>
    <w:rPr>
      <w:sz w:val="20"/>
      <w:szCs w:val="20"/>
    </w:rPr>
  </w:style>
  <w:style w:type="paragraph" w:styleId="CommentSubject">
    <w:name w:val="annotation subject"/>
    <w:basedOn w:val="CommentText"/>
    <w:next w:val="CommentText"/>
    <w:link w:val="CommentSubjectChar"/>
    <w:uiPriority w:val="99"/>
    <w:semiHidden/>
    <w:unhideWhenUsed/>
    <w:rsid w:val="00F92E7C"/>
    <w:rPr>
      <w:b/>
      <w:bCs/>
    </w:rPr>
  </w:style>
  <w:style w:type="character" w:customStyle="1" w:styleId="CommentSubjectChar">
    <w:name w:val="Comment Subject Char"/>
    <w:basedOn w:val="CommentTextChar"/>
    <w:link w:val="CommentSubject"/>
    <w:uiPriority w:val="99"/>
    <w:semiHidden/>
    <w:rsid w:val="00F92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25830">
      <w:bodyDiv w:val="1"/>
      <w:marLeft w:val="0"/>
      <w:marRight w:val="0"/>
      <w:marTop w:val="0"/>
      <w:marBottom w:val="0"/>
      <w:divBdr>
        <w:top w:val="none" w:sz="0" w:space="0" w:color="auto"/>
        <w:left w:val="none" w:sz="0" w:space="0" w:color="auto"/>
        <w:bottom w:val="none" w:sz="0" w:space="0" w:color="auto"/>
        <w:right w:val="none" w:sz="0" w:space="0" w:color="auto"/>
      </w:divBdr>
    </w:div>
    <w:div w:id="1278563559">
      <w:bodyDiv w:val="1"/>
      <w:marLeft w:val="0"/>
      <w:marRight w:val="0"/>
      <w:marTop w:val="0"/>
      <w:marBottom w:val="0"/>
      <w:divBdr>
        <w:top w:val="none" w:sz="0" w:space="0" w:color="auto"/>
        <w:left w:val="none" w:sz="0" w:space="0" w:color="auto"/>
        <w:bottom w:val="none" w:sz="0" w:space="0" w:color="auto"/>
        <w:right w:val="none" w:sz="0" w:space="0" w:color="auto"/>
      </w:divBdr>
    </w:div>
    <w:div w:id="1430078393">
      <w:bodyDiv w:val="1"/>
      <w:marLeft w:val="0"/>
      <w:marRight w:val="0"/>
      <w:marTop w:val="0"/>
      <w:marBottom w:val="0"/>
      <w:divBdr>
        <w:top w:val="none" w:sz="0" w:space="0" w:color="auto"/>
        <w:left w:val="none" w:sz="0" w:space="0" w:color="auto"/>
        <w:bottom w:val="none" w:sz="0" w:space="0" w:color="auto"/>
        <w:right w:val="none" w:sz="0" w:space="0" w:color="auto"/>
      </w:divBdr>
    </w:div>
    <w:div w:id="1971280023">
      <w:bodyDiv w:val="1"/>
      <w:marLeft w:val="0"/>
      <w:marRight w:val="0"/>
      <w:marTop w:val="0"/>
      <w:marBottom w:val="0"/>
      <w:divBdr>
        <w:top w:val="none" w:sz="0" w:space="0" w:color="auto"/>
        <w:left w:val="none" w:sz="0" w:space="0" w:color="auto"/>
        <w:bottom w:val="none" w:sz="0" w:space="0" w:color="auto"/>
        <w:right w:val="none" w:sz="0" w:space="0" w:color="auto"/>
      </w:divBdr>
    </w:div>
    <w:div w:id="2116947242">
      <w:bodyDiv w:val="1"/>
      <w:marLeft w:val="0"/>
      <w:marRight w:val="0"/>
      <w:marTop w:val="0"/>
      <w:marBottom w:val="0"/>
      <w:divBdr>
        <w:top w:val="none" w:sz="0" w:space="0" w:color="auto"/>
        <w:left w:val="none" w:sz="0" w:space="0" w:color="auto"/>
        <w:bottom w:val="none" w:sz="0" w:space="0" w:color="auto"/>
        <w:right w:val="none" w:sz="0" w:space="0" w:color="auto"/>
      </w:divBdr>
      <w:divsChild>
        <w:div w:id="638651299">
          <w:marLeft w:val="0"/>
          <w:marRight w:val="0"/>
          <w:marTop w:val="0"/>
          <w:marBottom w:val="0"/>
          <w:divBdr>
            <w:top w:val="none" w:sz="0" w:space="0" w:color="auto"/>
            <w:left w:val="none" w:sz="0" w:space="0" w:color="auto"/>
            <w:bottom w:val="none" w:sz="0" w:space="0" w:color="auto"/>
            <w:right w:val="none" w:sz="0" w:space="0" w:color="auto"/>
          </w:divBdr>
          <w:divsChild>
            <w:div w:id="81993127">
              <w:marLeft w:val="0"/>
              <w:marRight w:val="0"/>
              <w:marTop w:val="0"/>
              <w:marBottom w:val="0"/>
              <w:divBdr>
                <w:top w:val="none" w:sz="0" w:space="0" w:color="auto"/>
                <w:left w:val="none" w:sz="0" w:space="0" w:color="auto"/>
                <w:bottom w:val="none" w:sz="0" w:space="0" w:color="auto"/>
                <w:right w:val="none" w:sz="0" w:space="0" w:color="auto"/>
              </w:divBdr>
              <w:divsChild>
                <w:div w:id="1606233658">
                  <w:marLeft w:val="0"/>
                  <w:marRight w:val="0"/>
                  <w:marTop w:val="0"/>
                  <w:marBottom w:val="0"/>
                  <w:divBdr>
                    <w:top w:val="none" w:sz="0" w:space="0" w:color="auto"/>
                    <w:left w:val="none" w:sz="0" w:space="0" w:color="auto"/>
                    <w:bottom w:val="none" w:sz="0" w:space="0" w:color="auto"/>
                    <w:right w:val="none" w:sz="0" w:space="0" w:color="auto"/>
                  </w:divBdr>
                  <w:divsChild>
                    <w:div w:id="669910165">
                      <w:marLeft w:val="0"/>
                      <w:marRight w:val="0"/>
                      <w:marTop w:val="0"/>
                      <w:marBottom w:val="0"/>
                      <w:divBdr>
                        <w:top w:val="none" w:sz="0" w:space="0" w:color="auto"/>
                        <w:left w:val="none" w:sz="0" w:space="0" w:color="auto"/>
                        <w:bottom w:val="none" w:sz="0" w:space="0" w:color="auto"/>
                        <w:right w:val="none" w:sz="0" w:space="0" w:color="auto"/>
                      </w:divBdr>
                      <w:divsChild>
                        <w:div w:id="20386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external-examining" TargetMode="External"/><Relationship Id="rId13" Type="http://schemas.openxmlformats.org/officeDocument/2006/relationships/header" Target="header2.xml"/><Relationship Id="rId18" Type="http://schemas.openxmlformats.org/officeDocument/2006/relationships/hyperlink" Target="mailto:extexaminers@le.ac.uk" TargetMode="External"/><Relationship Id="rId26" Type="http://schemas.openxmlformats.org/officeDocument/2006/relationships/hyperlink" Target="https://le.ac.uk/coronavirus/information-for-students" TargetMode="External"/><Relationship Id="rId3" Type="http://schemas.openxmlformats.org/officeDocument/2006/relationships/styles" Target="styles.xml"/><Relationship Id="rId21" Type="http://schemas.openxmlformats.org/officeDocument/2006/relationships/hyperlink" Target="https://le.ac.uk/policies/regulations/senate-regulations"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le.ac.uk/policies/regulations/senate-regulations/senate-regulation-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uniofleicester.sharepoint.com/sites/staff/academic-administration/SitePages/External-examiners.aspx" TargetMode="External"/><Relationship Id="rId29" Type="http://schemas.openxmlformats.org/officeDocument/2006/relationships/hyperlink" Target="https://le.ac.uk/coronavirus/information-for-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e.ac.uk/policies/regulations/senate-regulations/senate-regulation-5"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ac.uk/sas/assessments/externalexamining" TargetMode="External"/><Relationship Id="rId23" Type="http://schemas.openxmlformats.org/officeDocument/2006/relationships/hyperlink" Target="https://www.heacademy.ac.uk/project-section/external-examining-handbook" TargetMode="External"/><Relationship Id="rId28" Type="http://schemas.openxmlformats.org/officeDocument/2006/relationships/hyperlink" Target="https://www2.le.ac.uk/offices/sas2/regulations/documents/sr6-pgt-exceptional-variation" TargetMode="External"/><Relationship Id="rId36" Type="http://schemas.openxmlformats.org/officeDocument/2006/relationships/fontTable" Target="fontTable.xml"/><Relationship Id="rId10" Type="http://schemas.openxmlformats.org/officeDocument/2006/relationships/hyperlink" Target="https://le.ac.uk/policies/regulations/senate-regulations" TargetMode="External"/><Relationship Id="rId19" Type="http://schemas.openxmlformats.org/officeDocument/2006/relationships/hyperlink" Target="http://www.le.ac.uk" TargetMode="External"/><Relationship Id="rId31" Type="http://schemas.openxmlformats.org/officeDocument/2006/relationships/hyperlink" Target="https://le.ac.uk/policies/regulations/senate-regulations/senate-regulation-11" TargetMode="External"/><Relationship Id="rId4" Type="http://schemas.openxmlformats.org/officeDocument/2006/relationships/settings" Target="settings.xml"/><Relationship Id="rId9" Type="http://schemas.openxmlformats.org/officeDocument/2006/relationships/hyperlink" Target="http://www2.le.ac.uk/offices/lli/lt/quality/external-examiners/" TargetMode="External"/><Relationship Id="rId14" Type="http://schemas.openxmlformats.org/officeDocument/2006/relationships/footer" Target="footer2.xml"/><Relationship Id="rId22" Type="http://schemas.openxmlformats.org/officeDocument/2006/relationships/hyperlink" Target="https://www.qaa.ac.uk/quality-code" TargetMode="External"/><Relationship Id="rId27" Type="http://schemas.openxmlformats.org/officeDocument/2006/relationships/hyperlink" Target="https://le.ac.uk/policies/regulations/senate-regulations/senate-regulation-6" TargetMode="External"/><Relationship Id="rId30" Type="http://schemas.openxmlformats.org/officeDocument/2006/relationships/hyperlink" Target="https://le.ac.uk/policies/regulations/senate-regulations/senate-regulation-7"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21A9-063C-45CD-B224-39864679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3624</Words>
  <Characters>20658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lm32</dc:creator>
  <cp:lastModifiedBy>Ward, Ryan</cp:lastModifiedBy>
  <cp:revision>2</cp:revision>
  <cp:lastPrinted>2022-04-20T10:41:00Z</cp:lastPrinted>
  <dcterms:created xsi:type="dcterms:W3CDTF">2022-04-20T12:04:00Z</dcterms:created>
  <dcterms:modified xsi:type="dcterms:W3CDTF">2022-04-20T12:04:00Z</dcterms:modified>
</cp:coreProperties>
</file>