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97A7F" w:rsidRPr="003E5586" w14:paraId="1596849A" w14:textId="77777777" w:rsidTr="00397A7F">
        <w:trPr>
          <w:cantSplit/>
          <w:trHeight w:hRule="exact" w:val="3029"/>
        </w:trPr>
        <w:tc>
          <w:tcPr>
            <w:tcW w:w="9464" w:type="dxa"/>
          </w:tcPr>
          <w:p w14:paraId="48C55283" w14:textId="24FD4886" w:rsidR="00397A7F" w:rsidRPr="00B15CE2" w:rsidRDefault="00397A7F" w:rsidP="00397A7F">
            <w:pPr>
              <w:pStyle w:val="NoSpacing"/>
              <w:spacing w:line="360" w:lineRule="auto"/>
              <w:rPr>
                <w:rStyle w:val="Strong"/>
                <w:b w:val="0"/>
                <w:sz w:val="24"/>
                <w:szCs w:val="24"/>
              </w:rPr>
            </w:pPr>
            <w:r w:rsidRPr="00B15CE2">
              <w:rPr>
                <w:rStyle w:val="Strong"/>
                <w:b w:val="0"/>
                <w:sz w:val="24"/>
                <w:szCs w:val="24"/>
              </w:rPr>
              <w:t xml:space="preserve">Role : </w:t>
            </w:r>
            <w:r w:rsidRPr="00B15CE2">
              <w:rPr>
                <w:rStyle w:val="Strong"/>
                <w:b w:val="0"/>
                <w:sz w:val="24"/>
                <w:szCs w:val="24"/>
                <w:lang w:val="en-US" w:eastAsia="en-US"/>
              </w:rPr>
              <w:t xml:space="preserve">Person </w:t>
            </w:r>
            <w:r w:rsidR="0039746B" w:rsidRPr="00B15CE2">
              <w:rPr>
                <w:rStyle w:val="Strong"/>
                <w:b w:val="0"/>
                <w:sz w:val="24"/>
                <w:szCs w:val="24"/>
                <w:lang w:val="en-US" w:eastAsia="en-US"/>
              </w:rPr>
              <w:t>Designated</w:t>
            </w:r>
            <w:r w:rsidRPr="00B15CE2">
              <w:rPr>
                <w:rStyle w:val="Strong"/>
                <w:b w:val="0"/>
                <w:sz w:val="24"/>
                <w:szCs w:val="24"/>
                <w:lang w:val="en-US" w:eastAsia="en-US"/>
              </w:rPr>
              <w:t xml:space="preserve"> (PD</w:t>
            </w:r>
            <w:r w:rsidR="005865A2" w:rsidRPr="00B15CE2">
              <w:rPr>
                <w:rStyle w:val="Strong"/>
                <w:b w:val="0"/>
                <w:sz w:val="24"/>
                <w:szCs w:val="24"/>
              </w:rPr>
              <w:t>)</w:t>
            </w:r>
            <w:r w:rsidRPr="00B15CE2">
              <w:rPr>
                <w:rStyle w:val="Strong"/>
                <w:b w:val="0"/>
                <w:sz w:val="24"/>
                <w:szCs w:val="24"/>
              </w:rPr>
              <w:tab/>
            </w:r>
            <w:r w:rsidRPr="00B15CE2">
              <w:rPr>
                <w:rStyle w:val="Strong"/>
                <w:b w:val="0"/>
                <w:sz w:val="24"/>
                <w:szCs w:val="24"/>
              </w:rPr>
              <w:tab/>
            </w:r>
          </w:p>
          <w:p w14:paraId="54FB4CD9" w14:textId="611133DC" w:rsidR="00397A7F" w:rsidRPr="00B15CE2" w:rsidRDefault="00397A7F" w:rsidP="00397A7F">
            <w:pPr>
              <w:pStyle w:val="NoSpacing"/>
              <w:spacing w:line="360" w:lineRule="auto"/>
              <w:rPr>
                <w:rStyle w:val="Strong"/>
                <w:b w:val="0"/>
                <w:sz w:val="24"/>
                <w:szCs w:val="24"/>
              </w:rPr>
            </w:pPr>
            <w:r w:rsidRPr="00B15CE2">
              <w:rPr>
                <w:rStyle w:val="Strong"/>
                <w:b w:val="0"/>
                <w:sz w:val="24"/>
                <w:szCs w:val="24"/>
              </w:rPr>
              <w:t xml:space="preserve">College : </w:t>
            </w:r>
            <w:r w:rsidR="006B04E7" w:rsidRPr="00B15CE2">
              <w:rPr>
                <w:bCs/>
                <w:sz w:val="24"/>
                <w:szCs w:val="24"/>
              </w:rPr>
              <w:t>College of Life Sciences</w:t>
            </w:r>
            <w:r w:rsidR="00B06479">
              <w:rPr>
                <w:bCs/>
                <w:sz w:val="24"/>
                <w:szCs w:val="24"/>
              </w:rPr>
              <w:t xml:space="preserve"> (CLS)</w:t>
            </w:r>
          </w:p>
          <w:p w14:paraId="0C8F9427" w14:textId="77777777" w:rsidR="00B06479" w:rsidRDefault="00397A7F" w:rsidP="00B06479">
            <w:pPr>
              <w:pStyle w:val="NoSpacing"/>
              <w:tabs>
                <w:tab w:val="left" w:pos="2155"/>
              </w:tabs>
              <w:spacing w:line="276" w:lineRule="auto"/>
              <w:rPr>
                <w:rStyle w:val="Strong"/>
                <w:b w:val="0"/>
                <w:sz w:val="24"/>
                <w:szCs w:val="24"/>
              </w:rPr>
            </w:pPr>
            <w:r w:rsidRPr="00B15CE2">
              <w:rPr>
                <w:rStyle w:val="Strong"/>
                <w:b w:val="0"/>
                <w:sz w:val="24"/>
                <w:szCs w:val="24"/>
              </w:rPr>
              <w:t>Matrix relationships:</w:t>
            </w:r>
            <w:r w:rsidR="00B06479">
              <w:rPr>
                <w:rStyle w:val="Strong"/>
                <w:b w:val="0"/>
                <w:sz w:val="24"/>
                <w:szCs w:val="24"/>
              </w:rPr>
              <w:t xml:space="preserve"> </w:t>
            </w:r>
            <w:r w:rsidR="009B6751" w:rsidRPr="00B15CE2">
              <w:rPr>
                <w:rStyle w:val="Strong"/>
                <w:b w:val="0"/>
                <w:sz w:val="24"/>
                <w:szCs w:val="24"/>
              </w:rPr>
              <w:t xml:space="preserve"> </w:t>
            </w:r>
          </w:p>
          <w:p w14:paraId="7AA65FC7" w14:textId="77777777" w:rsidR="00B06479" w:rsidRDefault="009B6751" w:rsidP="00B06479">
            <w:pPr>
              <w:pStyle w:val="NoSpacing"/>
              <w:numPr>
                <w:ilvl w:val="0"/>
                <w:numId w:val="20"/>
              </w:numPr>
              <w:tabs>
                <w:tab w:val="left" w:pos="2155"/>
              </w:tabs>
              <w:spacing w:line="276" w:lineRule="auto"/>
              <w:rPr>
                <w:rStyle w:val="Strong"/>
                <w:b w:val="0"/>
                <w:sz w:val="24"/>
                <w:szCs w:val="24"/>
              </w:rPr>
            </w:pPr>
            <w:r w:rsidRPr="00B15CE2">
              <w:rPr>
                <w:rStyle w:val="Strong"/>
                <w:b w:val="0"/>
                <w:sz w:val="24"/>
                <w:szCs w:val="24"/>
              </w:rPr>
              <w:t>Designated I</w:t>
            </w:r>
            <w:r w:rsidR="00397A7F" w:rsidRPr="00B15CE2">
              <w:rPr>
                <w:rStyle w:val="Strong"/>
                <w:b w:val="0"/>
                <w:sz w:val="24"/>
                <w:szCs w:val="24"/>
              </w:rPr>
              <w:t>ndividual (DI)</w:t>
            </w:r>
          </w:p>
          <w:p w14:paraId="29AD396B" w14:textId="5E082CAA" w:rsidR="00DF4917" w:rsidRPr="00B15CE2" w:rsidRDefault="008F1381" w:rsidP="00B06479">
            <w:pPr>
              <w:pStyle w:val="NoSpacing"/>
              <w:numPr>
                <w:ilvl w:val="0"/>
                <w:numId w:val="20"/>
              </w:numPr>
              <w:tabs>
                <w:tab w:val="left" w:pos="2155"/>
              </w:tabs>
              <w:spacing w:line="276" w:lineRule="auto"/>
              <w:rPr>
                <w:rStyle w:val="Strong"/>
                <w:b w:val="0"/>
                <w:sz w:val="24"/>
                <w:szCs w:val="24"/>
              </w:rPr>
            </w:pPr>
            <w:r w:rsidRPr="00B15CE2">
              <w:rPr>
                <w:rStyle w:val="Strong"/>
                <w:b w:val="0"/>
                <w:sz w:val="24"/>
                <w:szCs w:val="24"/>
              </w:rPr>
              <w:t xml:space="preserve">Human Tissue Act (HTA) Monitor </w:t>
            </w:r>
          </w:p>
          <w:p w14:paraId="7095204B" w14:textId="77777777" w:rsidR="00B06479" w:rsidRDefault="00EE2B80" w:rsidP="00B06479">
            <w:pPr>
              <w:pStyle w:val="NoSpacing"/>
              <w:numPr>
                <w:ilvl w:val="0"/>
                <w:numId w:val="20"/>
              </w:numPr>
              <w:tabs>
                <w:tab w:val="left" w:pos="2155"/>
              </w:tabs>
              <w:rPr>
                <w:rStyle w:val="Strong"/>
                <w:b w:val="0"/>
                <w:sz w:val="24"/>
                <w:szCs w:val="24"/>
              </w:rPr>
            </w:pPr>
            <w:r w:rsidRPr="00B15CE2">
              <w:rPr>
                <w:rStyle w:val="Strong"/>
                <w:b w:val="0"/>
                <w:sz w:val="24"/>
                <w:szCs w:val="24"/>
              </w:rPr>
              <w:t>University Hospitals of Leicester (UHL)</w:t>
            </w:r>
          </w:p>
          <w:p w14:paraId="75808AD2" w14:textId="48106014" w:rsidR="00DF4917" w:rsidRPr="00B15CE2" w:rsidRDefault="00B06479" w:rsidP="00B06479">
            <w:pPr>
              <w:pStyle w:val="NoSpacing"/>
              <w:numPr>
                <w:ilvl w:val="0"/>
                <w:numId w:val="20"/>
              </w:numPr>
              <w:tabs>
                <w:tab w:val="left" w:pos="2155"/>
              </w:tabs>
              <w:rPr>
                <w:rStyle w:val="Strong"/>
                <w:b w:val="0"/>
                <w:sz w:val="24"/>
                <w:szCs w:val="24"/>
              </w:rPr>
            </w:pPr>
            <w:r>
              <w:rPr>
                <w:rStyle w:val="Strong"/>
                <w:b w:val="0"/>
                <w:sz w:val="24"/>
                <w:szCs w:val="24"/>
              </w:rPr>
              <w:t>CLS</w:t>
            </w:r>
            <w:r w:rsidR="006B04E7" w:rsidRPr="00B15CE2">
              <w:rPr>
                <w:rStyle w:val="Strong"/>
                <w:b w:val="0"/>
                <w:sz w:val="24"/>
                <w:szCs w:val="24"/>
              </w:rPr>
              <w:t xml:space="preserve"> </w:t>
            </w:r>
            <w:r w:rsidR="00BC50B5" w:rsidRPr="00B15CE2">
              <w:rPr>
                <w:rStyle w:val="Strong"/>
                <w:b w:val="0"/>
                <w:sz w:val="24"/>
                <w:szCs w:val="24"/>
              </w:rPr>
              <w:t>Human Tissue Governance (</w:t>
            </w:r>
            <w:r w:rsidR="006B04E7" w:rsidRPr="00B15CE2">
              <w:rPr>
                <w:rStyle w:val="Strong"/>
                <w:b w:val="0"/>
                <w:sz w:val="24"/>
                <w:szCs w:val="24"/>
              </w:rPr>
              <w:t>HTG</w:t>
            </w:r>
            <w:r w:rsidR="00BC50B5" w:rsidRPr="00B15CE2">
              <w:rPr>
                <w:rStyle w:val="Strong"/>
                <w:b w:val="0"/>
                <w:sz w:val="24"/>
                <w:szCs w:val="24"/>
              </w:rPr>
              <w:t>)</w:t>
            </w:r>
            <w:r w:rsidR="00B15CE2">
              <w:rPr>
                <w:rStyle w:val="Strong"/>
                <w:b w:val="0"/>
                <w:sz w:val="24"/>
                <w:szCs w:val="24"/>
              </w:rPr>
              <w:t xml:space="preserve"> </w:t>
            </w:r>
            <w:r w:rsidR="00F53AE1">
              <w:rPr>
                <w:rStyle w:val="Strong"/>
                <w:b w:val="0"/>
                <w:sz w:val="24"/>
                <w:szCs w:val="24"/>
              </w:rPr>
              <w:t>C</w:t>
            </w:r>
            <w:r w:rsidR="005C7B03" w:rsidRPr="00B15CE2">
              <w:rPr>
                <w:rStyle w:val="Strong"/>
                <w:b w:val="0"/>
                <w:sz w:val="24"/>
                <w:szCs w:val="24"/>
              </w:rPr>
              <w:t>ommittee</w:t>
            </w:r>
          </w:p>
          <w:p w14:paraId="2F47E3BB" w14:textId="378D69D0" w:rsidR="00DF4917" w:rsidRPr="00B15CE2" w:rsidRDefault="00DF4917" w:rsidP="00FC0705">
            <w:pPr>
              <w:pStyle w:val="NoSpacing"/>
              <w:numPr>
                <w:ilvl w:val="0"/>
                <w:numId w:val="20"/>
              </w:numPr>
              <w:tabs>
                <w:tab w:val="left" w:pos="2155"/>
                <w:tab w:val="left" w:pos="4962"/>
              </w:tabs>
              <w:rPr>
                <w:rStyle w:val="Strong"/>
                <w:b w:val="0"/>
                <w:sz w:val="24"/>
                <w:szCs w:val="24"/>
              </w:rPr>
            </w:pPr>
            <w:r w:rsidRPr="00B15CE2">
              <w:rPr>
                <w:rStyle w:val="Strong"/>
                <w:b w:val="0"/>
                <w:sz w:val="24"/>
                <w:szCs w:val="24"/>
              </w:rPr>
              <w:t>Director of Operation</w:t>
            </w:r>
            <w:r w:rsidR="006B04E7" w:rsidRPr="00B15CE2">
              <w:rPr>
                <w:rStyle w:val="Strong"/>
                <w:b w:val="0"/>
                <w:sz w:val="24"/>
                <w:szCs w:val="24"/>
              </w:rPr>
              <w:t>s</w:t>
            </w:r>
            <w:r w:rsidRPr="00B15CE2">
              <w:rPr>
                <w:rStyle w:val="Strong"/>
                <w:b w:val="0"/>
                <w:sz w:val="24"/>
                <w:szCs w:val="24"/>
              </w:rPr>
              <w:t xml:space="preserve"> </w:t>
            </w:r>
          </w:p>
          <w:p w14:paraId="2C4B15EA" w14:textId="4222798F" w:rsidR="00397A7F" w:rsidRPr="00B15CE2" w:rsidRDefault="00CD3177" w:rsidP="00B06479">
            <w:pPr>
              <w:pStyle w:val="NoSpacing"/>
              <w:numPr>
                <w:ilvl w:val="0"/>
                <w:numId w:val="20"/>
              </w:numPr>
              <w:tabs>
                <w:tab w:val="left" w:pos="2155"/>
              </w:tabs>
              <w:rPr>
                <w:rStyle w:val="Strong"/>
                <w:b w:val="0"/>
                <w:sz w:val="24"/>
                <w:szCs w:val="24"/>
              </w:rPr>
            </w:pPr>
            <w:r w:rsidRPr="00B15CE2">
              <w:rPr>
                <w:rStyle w:val="Strong"/>
                <w:b w:val="0"/>
                <w:sz w:val="24"/>
                <w:szCs w:val="24"/>
              </w:rPr>
              <w:t>University</w:t>
            </w:r>
            <w:r w:rsidR="00B06479">
              <w:rPr>
                <w:rStyle w:val="Strong"/>
                <w:b w:val="0"/>
                <w:sz w:val="24"/>
                <w:szCs w:val="24"/>
              </w:rPr>
              <w:t xml:space="preserve"> of Leicester</w:t>
            </w:r>
            <w:r w:rsidRPr="00B15CE2">
              <w:rPr>
                <w:rStyle w:val="Strong"/>
                <w:b w:val="0"/>
                <w:sz w:val="24"/>
                <w:szCs w:val="24"/>
              </w:rPr>
              <w:t xml:space="preserve"> Licence H</w:t>
            </w:r>
            <w:r w:rsidR="00DF4917" w:rsidRPr="00B15CE2">
              <w:rPr>
                <w:rStyle w:val="Strong"/>
                <w:b w:val="0"/>
                <w:sz w:val="24"/>
                <w:szCs w:val="24"/>
              </w:rPr>
              <w:t>older</w:t>
            </w:r>
          </w:p>
          <w:p w14:paraId="73F83F04" w14:textId="6B836F20" w:rsidR="00EE2B80" w:rsidRPr="003E5586" w:rsidRDefault="00EE2B80" w:rsidP="007D2860">
            <w:pPr>
              <w:pStyle w:val="NoSpacing"/>
              <w:tabs>
                <w:tab w:val="left" w:pos="2155"/>
              </w:tabs>
              <w:rPr>
                <w:rFonts w:asciiTheme="minorHAnsi" w:eastAsia="Times New Roman" w:hAnsiTheme="minorHAnsi"/>
                <w:sz w:val="24"/>
                <w:szCs w:val="24"/>
                <w:lang w:eastAsia="en-US"/>
              </w:rPr>
            </w:pPr>
          </w:p>
        </w:tc>
      </w:tr>
      <w:tr w:rsidR="00397A7F" w:rsidRPr="003E5586" w14:paraId="1CBEA479" w14:textId="77777777" w:rsidTr="00397A7F">
        <w:tc>
          <w:tcPr>
            <w:tcW w:w="9464" w:type="dxa"/>
          </w:tcPr>
          <w:p w14:paraId="4A69BD12" w14:textId="77777777" w:rsidR="00397A7F" w:rsidRPr="008F1381" w:rsidRDefault="00397A7F" w:rsidP="006B5C89">
            <w:pPr>
              <w:tabs>
                <w:tab w:val="left" w:pos="3402"/>
              </w:tabs>
              <w:spacing w:after="0" w:line="240" w:lineRule="auto"/>
              <w:jc w:val="both"/>
              <w:rPr>
                <w:rFonts w:eastAsia="Times New Roman"/>
                <w:sz w:val="24"/>
                <w:szCs w:val="24"/>
                <w:lang w:eastAsia="en-US"/>
              </w:rPr>
            </w:pPr>
            <w:r w:rsidRPr="00BC50B5">
              <w:rPr>
                <w:rFonts w:eastAsia="Times New Roman"/>
                <w:sz w:val="28"/>
                <w:szCs w:val="24"/>
                <w:lang w:eastAsia="en-US"/>
              </w:rPr>
              <w:t>Summary:</w:t>
            </w:r>
          </w:p>
          <w:p w14:paraId="55872D0F" w14:textId="77777777" w:rsidR="008C2B18" w:rsidRPr="008F1381" w:rsidRDefault="008C2B18" w:rsidP="006B5C89">
            <w:pPr>
              <w:tabs>
                <w:tab w:val="left" w:pos="3402"/>
              </w:tabs>
              <w:spacing w:after="0" w:line="240" w:lineRule="auto"/>
              <w:jc w:val="both"/>
              <w:rPr>
                <w:rFonts w:eastAsia="Times New Roman"/>
                <w:sz w:val="24"/>
                <w:szCs w:val="24"/>
                <w:lang w:eastAsia="en-US"/>
              </w:rPr>
            </w:pPr>
          </w:p>
          <w:p w14:paraId="3DD88A44" w14:textId="057BBB76" w:rsidR="008C2B18" w:rsidRPr="008F1381" w:rsidRDefault="00397A7F" w:rsidP="006B5C89">
            <w:pPr>
              <w:spacing w:line="240" w:lineRule="auto"/>
              <w:jc w:val="both"/>
              <w:rPr>
                <w:sz w:val="24"/>
                <w:szCs w:val="24"/>
              </w:rPr>
            </w:pPr>
            <w:r w:rsidRPr="008F1381">
              <w:rPr>
                <w:sz w:val="24"/>
                <w:szCs w:val="24"/>
              </w:rPr>
              <w:t>The HT</w:t>
            </w:r>
            <w:r w:rsidR="00C23EF8" w:rsidRPr="008F1381">
              <w:rPr>
                <w:sz w:val="24"/>
                <w:szCs w:val="24"/>
              </w:rPr>
              <w:t xml:space="preserve"> </w:t>
            </w:r>
            <w:r w:rsidRPr="008F1381">
              <w:rPr>
                <w:sz w:val="24"/>
                <w:szCs w:val="24"/>
              </w:rPr>
              <w:t>A</w:t>
            </w:r>
            <w:r w:rsidR="00C23EF8" w:rsidRPr="008F1381">
              <w:rPr>
                <w:sz w:val="24"/>
                <w:szCs w:val="24"/>
              </w:rPr>
              <w:t>ct</w:t>
            </w:r>
            <w:r w:rsidRPr="008F1381">
              <w:rPr>
                <w:sz w:val="24"/>
                <w:szCs w:val="24"/>
              </w:rPr>
              <w:t xml:space="preserve"> (Human Tissue Act 2004) sets out a legal framework for the storage and use of tissue from the living and for the removal, storage and use of tis</w:t>
            </w:r>
            <w:r w:rsidR="008378E1">
              <w:rPr>
                <w:sz w:val="24"/>
                <w:szCs w:val="24"/>
              </w:rPr>
              <w:t xml:space="preserve">sues and organs from the dead. </w:t>
            </w:r>
            <w:bookmarkStart w:id="0" w:name="_GoBack"/>
            <w:bookmarkEnd w:id="0"/>
            <w:r w:rsidRPr="008F1381">
              <w:rPr>
                <w:sz w:val="24"/>
                <w:szCs w:val="24"/>
              </w:rPr>
              <w:t xml:space="preserve">The HT Act applies to all ‘relevant material’, defined as ‘material other than gametes, which consists of or includes human cells, but excluding </w:t>
            </w:r>
          </w:p>
          <w:p w14:paraId="373D292C" w14:textId="77777777" w:rsidR="008C2B18" w:rsidRPr="008F1381" w:rsidRDefault="00397A7F" w:rsidP="006B5C89">
            <w:pPr>
              <w:spacing w:line="240" w:lineRule="auto"/>
              <w:jc w:val="both"/>
              <w:rPr>
                <w:sz w:val="24"/>
                <w:szCs w:val="24"/>
              </w:rPr>
            </w:pPr>
            <w:r w:rsidRPr="008F1381">
              <w:rPr>
                <w:sz w:val="24"/>
                <w:szCs w:val="24"/>
              </w:rPr>
              <w:t xml:space="preserve">a) embryos outside the human body, or </w:t>
            </w:r>
          </w:p>
          <w:p w14:paraId="406147FD" w14:textId="77777777" w:rsidR="008C2B18" w:rsidRPr="008F1381" w:rsidRDefault="00397A7F" w:rsidP="006B5C89">
            <w:pPr>
              <w:spacing w:line="240" w:lineRule="auto"/>
              <w:jc w:val="both"/>
              <w:rPr>
                <w:sz w:val="24"/>
                <w:szCs w:val="24"/>
              </w:rPr>
            </w:pPr>
            <w:r w:rsidRPr="008F1381">
              <w:rPr>
                <w:sz w:val="24"/>
                <w:szCs w:val="24"/>
              </w:rPr>
              <w:t xml:space="preserve">b) hair and nail from the body of a living person’. </w:t>
            </w:r>
          </w:p>
          <w:p w14:paraId="5B529930" w14:textId="565E3227" w:rsidR="00397A7F" w:rsidRPr="008F1381" w:rsidRDefault="00397A7F" w:rsidP="006B5C89">
            <w:pPr>
              <w:spacing w:line="240" w:lineRule="auto"/>
              <w:jc w:val="both"/>
              <w:rPr>
                <w:sz w:val="24"/>
                <w:szCs w:val="24"/>
              </w:rPr>
            </w:pPr>
            <w:r w:rsidRPr="008F1381">
              <w:rPr>
                <w:sz w:val="24"/>
                <w:szCs w:val="24"/>
              </w:rPr>
              <w:t xml:space="preserve">This includes ‘residual’ tissue following clinical and diagnostic procedures </w:t>
            </w:r>
            <w:r w:rsidR="003F5672" w:rsidRPr="008F1381">
              <w:rPr>
                <w:sz w:val="24"/>
                <w:szCs w:val="24"/>
              </w:rPr>
              <w:t>and</w:t>
            </w:r>
            <w:r w:rsidRPr="008F1381">
              <w:rPr>
                <w:sz w:val="24"/>
                <w:szCs w:val="24"/>
              </w:rPr>
              <w:t xml:space="preserve"> covers blood, blocks and slides.</w:t>
            </w:r>
            <w:r w:rsidR="0025044E" w:rsidRPr="008F1381">
              <w:rPr>
                <w:sz w:val="24"/>
                <w:szCs w:val="24"/>
              </w:rPr>
              <w:t xml:space="preserve"> DNA in itself is not bodily </w:t>
            </w:r>
            <w:r w:rsidR="003F5672" w:rsidRPr="008F1381">
              <w:rPr>
                <w:sz w:val="24"/>
                <w:szCs w:val="24"/>
              </w:rPr>
              <w:t>material</w:t>
            </w:r>
            <w:r w:rsidR="003F5672">
              <w:rPr>
                <w:sz w:val="24"/>
                <w:szCs w:val="24"/>
              </w:rPr>
              <w:t>;</w:t>
            </w:r>
            <w:r w:rsidR="0025044E" w:rsidRPr="008F1381">
              <w:rPr>
                <w:sz w:val="24"/>
                <w:szCs w:val="24"/>
              </w:rPr>
              <w:t xml:space="preserve"> </w:t>
            </w:r>
            <w:r w:rsidR="00B24B0E" w:rsidRPr="008F1381">
              <w:rPr>
                <w:sz w:val="24"/>
                <w:szCs w:val="24"/>
              </w:rPr>
              <w:t>however</w:t>
            </w:r>
            <w:r w:rsidR="003F5672">
              <w:rPr>
                <w:sz w:val="24"/>
                <w:szCs w:val="24"/>
              </w:rPr>
              <w:t>,</w:t>
            </w:r>
            <w:r w:rsidR="00B24B0E" w:rsidRPr="008F1381">
              <w:rPr>
                <w:sz w:val="24"/>
                <w:szCs w:val="24"/>
              </w:rPr>
              <w:t xml:space="preserve"> </w:t>
            </w:r>
            <w:r w:rsidR="00EC1EB7" w:rsidRPr="008F1381">
              <w:rPr>
                <w:sz w:val="24"/>
                <w:szCs w:val="24"/>
              </w:rPr>
              <w:t xml:space="preserve">qualifying </w:t>
            </w:r>
            <w:r w:rsidR="00B24B0E" w:rsidRPr="008F1381">
              <w:rPr>
                <w:sz w:val="24"/>
                <w:szCs w:val="24"/>
              </w:rPr>
              <w:t>consent must be in place</w:t>
            </w:r>
            <w:r w:rsidR="00EC1EB7" w:rsidRPr="008F1381">
              <w:rPr>
                <w:sz w:val="24"/>
                <w:szCs w:val="24"/>
              </w:rPr>
              <w:t xml:space="preserve">. </w:t>
            </w:r>
            <w:r w:rsidRPr="008F1381">
              <w:rPr>
                <w:sz w:val="24"/>
                <w:szCs w:val="24"/>
              </w:rPr>
              <w:t xml:space="preserve">The HT Act repeals and replaces previous legislation in this area and establishes the Human Tissue Authority (HTA) as the regulatory body. </w:t>
            </w:r>
            <w:r w:rsidR="000F7CD7">
              <w:rPr>
                <w:sz w:val="24"/>
                <w:szCs w:val="24"/>
              </w:rPr>
              <w:t xml:space="preserve">The </w:t>
            </w:r>
            <w:r w:rsidRPr="008F1381">
              <w:rPr>
                <w:sz w:val="24"/>
                <w:szCs w:val="24"/>
              </w:rPr>
              <w:t>HTA framework provides for various models of governance around three key roles, as outlined in the Human Tissue Act.  These three roles are:</w:t>
            </w:r>
          </w:p>
          <w:p w14:paraId="0ACBBDA7" w14:textId="7D30B79A" w:rsidR="00397A7F" w:rsidRPr="008F1381" w:rsidRDefault="00B06479" w:rsidP="005C7B03">
            <w:pPr>
              <w:spacing w:line="240" w:lineRule="auto"/>
              <w:ind w:left="720"/>
              <w:jc w:val="both"/>
              <w:rPr>
                <w:sz w:val="24"/>
                <w:szCs w:val="24"/>
                <w:lang w:eastAsia="en-US"/>
              </w:rPr>
            </w:pPr>
            <w:r>
              <w:rPr>
                <w:sz w:val="24"/>
                <w:szCs w:val="24"/>
                <w:lang w:eastAsia="en-US"/>
              </w:rPr>
              <w:t>• Designated Individual (DI)</w:t>
            </w:r>
          </w:p>
          <w:p w14:paraId="453762C5" w14:textId="77777777" w:rsidR="00397A7F" w:rsidRPr="008F1381" w:rsidRDefault="00397A7F" w:rsidP="005C7B03">
            <w:pPr>
              <w:spacing w:line="240" w:lineRule="auto"/>
              <w:ind w:left="720"/>
              <w:jc w:val="both"/>
              <w:rPr>
                <w:sz w:val="24"/>
                <w:szCs w:val="24"/>
                <w:lang w:eastAsia="en-US"/>
              </w:rPr>
            </w:pPr>
            <w:r w:rsidRPr="008F1381">
              <w:rPr>
                <w:sz w:val="24"/>
                <w:szCs w:val="24"/>
                <w:lang w:eastAsia="en-US"/>
              </w:rPr>
              <w:t>• Licence Holder (if different to DI); and</w:t>
            </w:r>
          </w:p>
          <w:p w14:paraId="78D4F4C2" w14:textId="77777777" w:rsidR="00397A7F" w:rsidRPr="003E5586" w:rsidRDefault="00397A7F" w:rsidP="005C7B03">
            <w:pPr>
              <w:spacing w:line="240" w:lineRule="auto"/>
              <w:ind w:left="720"/>
              <w:jc w:val="both"/>
              <w:rPr>
                <w:rFonts w:asciiTheme="minorHAnsi" w:hAnsiTheme="minorHAnsi"/>
                <w:sz w:val="24"/>
                <w:szCs w:val="24"/>
                <w:lang w:eastAsia="en-US"/>
              </w:rPr>
            </w:pPr>
            <w:r w:rsidRPr="008F1381">
              <w:rPr>
                <w:sz w:val="24"/>
                <w:szCs w:val="24"/>
                <w:lang w:eastAsia="en-US"/>
              </w:rPr>
              <w:t>• Person Designated as a person to whom the licence applied.</w:t>
            </w:r>
          </w:p>
        </w:tc>
      </w:tr>
      <w:tr w:rsidR="00397A7F" w:rsidRPr="003E5586" w14:paraId="5725CEEE" w14:textId="77777777" w:rsidTr="00397A7F">
        <w:tc>
          <w:tcPr>
            <w:tcW w:w="9464" w:type="dxa"/>
          </w:tcPr>
          <w:p w14:paraId="58B8824F" w14:textId="77777777" w:rsidR="00397A7F" w:rsidRPr="003F5672" w:rsidRDefault="00397A7F" w:rsidP="006B5C89">
            <w:pPr>
              <w:pStyle w:val="NoSpacing"/>
              <w:jc w:val="both"/>
              <w:rPr>
                <w:sz w:val="28"/>
                <w:szCs w:val="24"/>
                <w:lang w:eastAsia="en-US"/>
              </w:rPr>
            </w:pPr>
            <w:r w:rsidRPr="003F5672">
              <w:rPr>
                <w:sz w:val="28"/>
                <w:szCs w:val="24"/>
                <w:lang w:eastAsia="en-US"/>
              </w:rPr>
              <w:t xml:space="preserve">Quality framework communication – </w:t>
            </w:r>
          </w:p>
          <w:p w14:paraId="396BEE10" w14:textId="77777777" w:rsidR="008C2B18" w:rsidRPr="003F5672" w:rsidRDefault="008C2B18" w:rsidP="006B5C89">
            <w:pPr>
              <w:pStyle w:val="NoSpacing"/>
              <w:jc w:val="both"/>
              <w:rPr>
                <w:sz w:val="28"/>
                <w:szCs w:val="24"/>
                <w:lang w:eastAsia="en-US"/>
              </w:rPr>
            </w:pPr>
          </w:p>
          <w:p w14:paraId="7C989BB9" w14:textId="515D6B7A" w:rsidR="00397A7F" w:rsidRPr="008F1381" w:rsidRDefault="00CD3177" w:rsidP="006B5C89">
            <w:pPr>
              <w:pStyle w:val="NoSpacing"/>
              <w:jc w:val="both"/>
              <w:rPr>
                <w:sz w:val="24"/>
                <w:szCs w:val="24"/>
                <w:lang w:eastAsia="en-US"/>
              </w:rPr>
            </w:pPr>
            <w:r w:rsidRPr="008F1381">
              <w:rPr>
                <w:sz w:val="24"/>
                <w:szCs w:val="24"/>
                <w:lang w:eastAsia="en-US"/>
              </w:rPr>
              <w:t>The E</w:t>
            </w:r>
            <w:r w:rsidR="00397A7F" w:rsidRPr="008F1381">
              <w:rPr>
                <w:sz w:val="24"/>
                <w:szCs w:val="24"/>
                <w:lang w:eastAsia="en-US"/>
              </w:rPr>
              <w:t xml:space="preserve">xecutive Lead on </w:t>
            </w:r>
            <w:r w:rsidR="00DF4917" w:rsidRPr="008F1381">
              <w:rPr>
                <w:sz w:val="24"/>
                <w:szCs w:val="24"/>
                <w:lang w:eastAsia="en-US"/>
              </w:rPr>
              <w:t xml:space="preserve">operational </w:t>
            </w:r>
            <w:r w:rsidR="00DF4917" w:rsidRPr="008F1381">
              <w:rPr>
                <w:sz w:val="24"/>
                <w:szCs w:val="24"/>
              </w:rPr>
              <w:t>HTA</w:t>
            </w:r>
            <w:r w:rsidR="00DF4917" w:rsidRPr="008F1381">
              <w:rPr>
                <w:sz w:val="24"/>
                <w:szCs w:val="24"/>
                <w:lang w:eastAsia="en-US"/>
              </w:rPr>
              <w:t xml:space="preserve"> matters is the </w:t>
            </w:r>
            <w:r w:rsidR="00956561" w:rsidRPr="008F1381">
              <w:rPr>
                <w:sz w:val="24"/>
                <w:szCs w:val="24"/>
                <w:lang w:eastAsia="en-US"/>
              </w:rPr>
              <w:t>R</w:t>
            </w:r>
            <w:r w:rsidR="00DF4917" w:rsidRPr="008F1381">
              <w:rPr>
                <w:sz w:val="24"/>
                <w:szCs w:val="24"/>
                <w:lang w:eastAsia="en-US"/>
              </w:rPr>
              <w:t>egistrar</w:t>
            </w:r>
            <w:r w:rsidR="00716692">
              <w:rPr>
                <w:sz w:val="24"/>
                <w:szCs w:val="24"/>
                <w:lang w:eastAsia="en-US"/>
              </w:rPr>
              <w:t xml:space="preserve"> and Secretary</w:t>
            </w:r>
            <w:r w:rsidR="00DF4917" w:rsidRPr="008F1381">
              <w:rPr>
                <w:sz w:val="24"/>
                <w:szCs w:val="24"/>
                <w:lang w:eastAsia="en-US"/>
              </w:rPr>
              <w:t xml:space="preserve"> of the University </w:t>
            </w:r>
            <w:r w:rsidR="00397A7F" w:rsidRPr="008F1381">
              <w:rPr>
                <w:sz w:val="24"/>
                <w:szCs w:val="24"/>
                <w:lang w:eastAsia="en-US"/>
              </w:rPr>
              <w:t>under the protection</w:t>
            </w:r>
            <w:r w:rsidR="00CD4B0E" w:rsidRPr="008F1381">
              <w:rPr>
                <w:sz w:val="24"/>
                <w:szCs w:val="24"/>
                <w:lang w:eastAsia="en-US"/>
              </w:rPr>
              <w:t xml:space="preserve"> of</w:t>
            </w:r>
            <w:r w:rsidR="00397A7F" w:rsidRPr="008F1381">
              <w:rPr>
                <w:sz w:val="24"/>
                <w:szCs w:val="24"/>
                <w:lang w:eastAsia="en-US"/>
              </w:rPr>
              <w:t xml:space="preserve"> </w:t>
            </w:r>
            <w:r w:rsidRPr="008F1381">
              <w:rPr>
                <w:sz w:val="24"/>
                <w:szCs w:val="24"/>
                <w:lang w:eastAsia="en-US"/>
              </w:rPr>
              <w:t xml:space="preserve">the </w:t>
            </w:r>
            <w:r w:rsidR="00B06479">
              <w:rPr>
                <w:sz w:val="24"/>
                <w:szCs w:val="24"/>
              </w:rPr>
              <w:t xml:space="preserve">CLS </w:t>
            </w:r>
            <w:r w:rsidR="008F1381">
              <w:rPr>
                <w:sz w:val="24"/>
                <w:szCs w:val="24"/>
                <w:lang w:eastAsia="en-US"/>
              </w:rPr>
              <w:t>HTG</w:t>
            </w:r>
            <w:r w:rsidR="00956561" w:rsidRPr="008F1381">
              <w:rPr>
                <w:sz w:val="24"/>
                <w:szCs w:val="24"/>
                <w:lang w:eastAsia="en-US"/>
              </w:rPr>
              <w:t xml:space="preserve"> C</w:t>
            </w:r>
            <w:r w:rsidRPr="008F1381">
              <w:rPr>
                <w:sz w:val="24"/>
                <w:szCs w:val="24"/>
                <w:lang w:eastAsia="en-US"/>
              </w:rPr>
              <w:t>ommittee</w:t>
            </w:r>
            <w:r w:rsidR="00716692">
              <w:rPr>
                <w:sz w:val="24"/>
                <w:szCs w:val="24"/>
                <w:lang w:eastAsia="en-US"/>
              </w:rPr>
              <w:t xml:space="preserve">. </w:t>
            </w:r>
            <w:r w:rsidR="00397A7F" w:rsidRPr="008F1381">
              <w:rPr>
                <w:sz w:val="24"/>
                <w:szCs w:val="24"/>
                <w:lang w:eastAsia="en-US"/>
              </w:rPr>
              <w:t>The Designated Individual (DI) has statutory responsibility under Section 18 of the Human Tissue Act</w:t>
            </w:r>
            <w:r w:rsidR="00956561" w:rsidRPr="008F1381">
              <w:rPr>
                <w:sz w:val="24"/>
                <w:szCs w:val="24"/>
                <w:lang w:eastAsia="en-US"/>
              </w:rPr>
              <w:t xml:space="preserve"> 2004</w:t>
            </w:r>
            <w:r w:rsidR="00716692">
              <w:rPr>
                <w:sz w:val="24"/>
                <w:szCs w:val="24"/>
                <w:lang w:eastAsia="en-US"/>
              </w:rPr>
              <w:t xml:space="preserve">. </w:t>
            </w:r>
            <w:r w:rsidR="00397A7F" w:rsidRPr="008F1381">
              <w:rPr>
                <w:sz w:val="24"/>
                <w:szCs w:val="24"/>
                <w:lang w:eastAsia="en-US"/>
              </w:rPr>
              <w:t>The DI for research is accountable to the HTA for human tissue handled under the authority of the University</w:t>
            </w:r>
            <w:r w:rsidR="008F1381">
              <w:rPr>
                <w:sz w:val="24"/>
                <w:szCs w:val="24"/>
                <w:lang w:eastAsia="en-US"/>
              </w:rPr>
              <w:t xml:space="preserve"> Research licence</w:t>
            </w:r>
            <w:r w:rsidR="00397A7F" w:rsidRPr="008F1381">
              <w:rPr>
                <w:sz w:val="24"/>
                <w:szCs w:val="24"/>
                <w:lang w:eastAsia="en-US"/>
              </w:rPr>
              <w:t xml:space="preserve"> and is responsible for making relevant University staff </w:t>
            </w:r>
            <w:r w:rsidR="00602951" w:rsidRPr="008F1381">
              <w:rPr>
                <w:sz w:val="24"/>
                <w:szCs w:val="24"/>
                <w:lang w:eastAsia="en-US"/>
              </w:rPr>
              <w:t xml:space="preserve">and students </w:t>
            </w:r>
            <w:r w:rsidR="00397A7F" w:rsidRPr="008F1381">
              <w:rPr>
                <w:sz w:val="24"/>
                <w:szCs w:val="24"/>
                <w:lang w:eastAsia="en-US"/>
              </w:rPr>
              <w:t xml:space="preserve">aware of this </w:t>
            </w:r>
            <w:r w:rsidR="009B6751" w:rsidRPr="008F1381">
              <w:rPr>
                <w:sz w:val="24"/>
                <w:szCs w:val="24"/>
                <w:lang w:eastAsia="en-US"/>
              </w:rPr>
              <w:t>Act</w:t>
            </w:r>
            <w:r w:rsidR="00397A7F" w:rsidRPr="008F1381">
              <w:rPr>
                <w:sz w:val="24"/>
                <w:szCs w:val="24"/>
                <w:lang w:eastAsia="en-US"/>
              </w:rPr>
              <w:t>.</w:t>
            </w:r>
          </w:p>
          <w:p w14:paraId="059B0617" w14:textId="77777777" w:rsidR="00397A7F" w:rsidRPr="008C2B18" w:rsidRDefault="00397A7F" w:rsidP="006B5C89">
            <w:pPr>
              <w:pStyle w:val="NoSpacing"/>
              <w:jc w:val="both"/>
              <w:rPr>
                <w:rFonts w:asciiTheme="minorHAnsi" w:hAnsiTheme="minorHAnsi"/>
                <w:sz w:val="24"/>
                <w:szCs w:val="24"/>
                <w:lang w:eastAsia="en-US"/>
              </w:rPr>
            </w:pPr>
          </w:p>
          <w:p w14:paraId="274559D4" w14:textId="5ACFAD9D" w:rsidR="00A376F6" w:rsidRPr="00BC50B5" w:rsidRDefault="00716692" w:rsidP="006B5C89">
            <w:pPr>
              <w:pStyle w:val="NoSpacing"/>
              <w:jc w:val="both"/>
              <w:rPr>
                <w:sz w:val="24"/>
                <w:szCs w:val="24"/>
                <w:lang w:eastAsia="en-US"/>
              </w:rPr>
            </w:pPr>
            <w:r w:rsidRPr="00BC50B5">
              <w:rPr>
                <w:sz w:val="24"/>
                <w:szCs w:val="24"/>
                <w:lang w:eastAsia="en-US"/>
              </w:rPr>
              <w:lastRenderedPageBreak/>
              <w:t>The HTA Monitor</w:t>
            </w:r>
            <w:r w:rsidR="00397A7F" w:rsidRPr="00BC50B5">
              <w:rPr>
                <w:sz w:val="24"/>
                <w:szCs w:val="24"/>
                <w:lang w:eastAsia="en-US"/>
              </w:rPr>
              <w:t xml:space="preserve"> is accountable to the DI and will act on his/her behalf to oversee adherence to the University Research Licence</w:t>
            </w:r>
            <w:r w:rsidR="00CD4B0E" w:rsidRPr="00BC50B5">
              <w:rPr>
                <w:sz w:val="24"/>
                <w:szCs w:val="24"/>
                <w:lang w:eastAsia="en-US"/>
              </w:rPr>
              <w:t>,</w:t>
            </w:r>
            <w:r w:rsidR="00397A7F" w:rsidRPr="00BC50B5">
              <w:rPr>
                <w:sz w:val="24"/>
                <w:szCs w:val="24"/>
                <w:lang w:eastAsia="en-US"/>
              </w:rPr>
              <w:t xml:space="preserve"> </w:t>
            </w:r>
            <w:r w:rsidR="003E5586" w:rsidRPr="00BC50B5">
              <w:rPr>
                <w:sz w:val="24"/>
                <w:szCs w:val="24"/>
                <w:lang w:eastAsia="en-US"/>
              </w:rPr>
              <w:t>HT</w:t>
            </w:r>
            <w:r w:rsidR="00CD4B0E" w:rsidRPr="00BC50B5">
              <w:rPr>
                <w:sz w:val="24"/>
                <w:szCs w:val="24"/>
                <w:lang w:eastAsia="en-US"/>
              </w:rPr>
              <w:t xml:space="preserve"> </w:t>
            </w:r>
            <w:r w:rsidR="003E5586" w:rsidRPr="00BC50B5">
              <w:rPr>
                <w:sz w:val="24"/>
                <w:szCs w:val="24"/>
                <w:lang w:eastAsia="en-US"/>
              </w:rPr>
              <w:t>A</w:t>
            </w:r>
            <w:r w:rsidR="00CD4B0E" w:rsidRPr="00BC50B5">
              <w:rPr>
                <w:sz w:val="24"/>
                <w:szCs w:val="24"/>
                <w:lang w:eastAsia="en-US"/>
              </w:rPr>
              <w:t>ct 2004</w:t>
            </w:r>
            <w:r w:rsidR="00C77515" w:rsidRPr="00BC50B5">
              <w:rPr>
                <w:sz w:val="24"/>
                <w:szCs w:val="24"/>
                <w:lang w:eastAsia="en-US"/>
              </w:rPr>
              <w:t>, HTA</w:t>
            </w:r>
            <w:r w:rsidR="00956561" w:rsidRPr="00BC50B5">
              <w:rPr>
                <w:sz w:val="24"/>
                <w:szCs w:val="24"/>
                <w:lang w:eastAsia="en-US"/>
              </w:rPr>
              <w:t xml:space="preserve"> Code</w:t>
            </w:r>
            <w:r w:rsidR="00C77515" w:rsidRPr="00BC50B5">
              <w:rPr>
                <w:sz w:val="24"/>
                <w:szCs w:val="24"/>
                <w:lang w:eastAsia="en-US"/>
              </w:rPr>
              <w:t>s</w:t>
            </w:r>
            <w:r w:rsidR="00956561" w:rsidRPr="00BC50B5">
              <w:rPr>
                <w:sz w:val="24"/>
                <w:szCs w:val="24"/>
                <w:lang w:eastAsia="en-US"/>
              </w:rPr>
              <w:t xml:space="preserve"> of Practice</w:t>
            </w:r>
            <w:r w:rsidR="00CD4B0E" w:rsidRPr="00BC50B5">
              <w:rPr>
                <w:sz w:val="24"/>
                <w:szCs w:val="24"/>
                <w:lang w:eastAsia="en-US"/>
              </w:rPr>
              <w:t xml:space="preserve"> and HTA standards.</w:t>
            </w:r>
            <w:r w:rsidR="00397A7F" w:rsidRPr="00BC50B5">
              <w:rPr>
                <w:sz w:val="24"/>
                <w:szCs w:val="24"/>
                <w:lang w:eastAsia="en-US"/>
              </w:rPr>
              <w:t xml:space="preserve">  </w:t>
            </w:r>
            <w:r w:rsidR="009B6751" w:rsidRPr="00BC50B5">
              <w:rPr>
                <w:sz w:val="24"/>
                <w:szCs w:val="24"/>
                <w:lang w:eastAsia="en-US"/>
              </w:rPr>
              <w:t>The</w:t>
            </w:r>
            <w:r w:rsidR="003F5672">
              <w:rPr>
                <w:sz w:val="24"/>
                <w:szCs w:val="24"/>
                <w:lang w:eastAsia="en-US"/>
              </w:rPr>
              <w:t xml:space="preserve"> Research Ethics and Integrity (REGI) Office</w:t>
            </w:r>
            <w:r w:rsidR="00DF4917" w:rsidRPr="00BC50B5">
              <w:rPr>
                <w:sz w:val="24"/>
                <w:szCs w:val="24"/>
                <w:lang w:eastAsia="en-US"/>
              </w:rPr>
              <w:t xml:space="preserve"> will maintain a list </w:t>
            </w:r>
            <w:r w:rsidR="001478AD" w:rsidRPr="00BC50B5">
              <w:rPr>
                <w:sz w:val="24"/>
                <w:szCs w:val="24"/>
                <w:lang w:eastAsia="en-US"/>
              </w:rPr>
              <w:t xml:space="preserve">of </w:t>
            </w:r>
            <w:r w:rsidR="00B06479">
              <w:rPr>
                <w:sz w:val="24"/>
                <w:szCs w:val="24"/>
              </w:rPr>
              <w:t>PD’s.</w:t>
            </w:r>
            <w:r w:rsidR="00CD4B0E" w:rsidRPr="00BC50B5">
              <w:rPr>
                <w:sz w:val="24"/>
                <w:szCs w:val="24"/>
                <w:lang w:eastAsia="en-US"/>
              </w:rPr>
              <w:t xml:space="preserve"> </w:t>
            </w:r>
          </w:p>
          <w:p w14:paraId="2A93D9B5" w14:textId="77777777" w:rsidR="000C6340" w:rsidRPr="00BC50B5" w:rsidRDefault="000C6340" w:rsidP="006B5C89">
            <w:pPr>
              <w:pStyle w:val="NoSpacing"/>
              <w:jc w:val="both"/>
              <w:rPr>
                <w:sz w:val="24"/>
                <w:szCs w:val="24"/>
                <w:lang w:eastAsia="en-US"/>
              </w:rPr>
            </w:pPr>
          </w:p>
          <w:p w14:paraId="0513B75E" w14:textId="672E7425" w:rsidR="00397A7F" w:rsidRPr="00BC50B5" w:rsidRDefault="00B06479" w:rsidP="006B5C89">
            <w:pPr>
              <w:pStyle w:val="NoSpacing"/>
              <w:jc w:val="both"/>
              <w:rPr>
                <w:sz w:val="24"/>
                <w:szCs w:val="24"/>
                <w:lang w:eastAsia="en-US"/>
              </w:rPr>
            </w:pPr>
            <w:r>
              <w:rPr>
                <w:sz w:val="24"/>
                <w:szCs w:val="24"/>
                <w:lang w:eastAsia="en-US"/>
              </w:rPr>
              <w:t>PD’s</w:t>
            </w:r>
            <w:r w:rsidR="00956561" w:rsidRPr="00BC50B5">
              <w:rPr>
                <w:sz w:val="24"/>
                <w:szCs w:val="24"/>
                <w:lang w:eastAsia="en-US"/>
              </w:rPr>
              <w:t xml:space="preserve"> </w:t>
            </w:r>
            <w:r w:rsidR="00397A7F" w:rsidRPr="00BC50B5">
              <w:rPr>
                <w:sz w:val="24"/>
                <w:szCs w:val="24"/>
                <w:lang w:eastAsia="en-US"/>
              </w:rPr>
              <w:t xml:space="preserve">are accountable to the DI and responsible for ensuring that </w:t>
            </w:r>
            <w:r w:rsidR="00956561" w:rsidRPr="00BC50B5">
              <w:rPr>
                <w:sz w:val="24"/>
                <w:szCs w:val="24"/>
                <w:lang w:eastAsia="en-US"/>
              </w:rPr>
              <w:t>staff and students working in the license</w:t>
            </w:r>
            <w:r w:rsidR="0026290C" w:rsidRPr="00BC50B5">
              <w:rPr>
                <w:sz w:val="24"/>
                <w:szCs w:val="24"/>
                <w:lang w:eastAsia="en-US"/>
              </w:rPr>
              <w:t>d</w:t>
            </w:r>
            <w:r w:rsidR="00BC50B5">
              <w:rPr>
                <w:sz w:val="24"/>
                <w:szCs w:val="24"/>
                <w:lang w:eastAsia="en-US"/>
              </w:rPr>
              <w:t xml:space="preserve"> areas</w:t>
            </w:r>
            <w:r w:rsidR="00956561" w:rsidRPr="00BC50B5">
              <w:rPr>
                <w:sz w:val="24"/>
                <w:szCs w:val="24"/>
                <w:lang w:eastAsia="en-US"/>
              </w:rPr>
              <w:t xml:space="preserve"> are aware of </w:t>
            </w:r>
            <w:r w:rsidR="00397A7F" w:rsidRPr="00BC50B5">
              <w:rPr>
                <w:sz w:val="24"/>
                <w:szCs w:val="24"/>
                <w:lang w:eastAsia="en-US"/>
              </w:rPr>
              <w:t>th</w:t>
            </w:r>
            <w:r w:rsidR="00B605FB" w:rsidRPr="00BC50B5">
              <w:rPr>
                <w:sz w:val="24"/>
                <w:szCs w:val="24"/>
                <w:lang w:eastAsia="en-US"/>
              </w:rPr>
              <w:t>e</w:t>
            </w:r>
            <w:r w:rsidR="00397A7F" w:rsidRPr="00BC50B5">
              <w:rPr>
                <w:sz w:val="24"/>
                <w:szCs w:val="24"/>
                <w:lang w:eastAsia="en-US"/>
              </w:rPr>
              <w:t xml:space="preserve"> </w:t>
            </w:r>
            <w:r w:rsidR="00B605FB" w:rsidRPr="00BC50B5">
              <w:rPr>
                <w:sz w:val="24"/>
                <w:szCs w:val="24"/>
                <w:lang w:eastAsia="en-US"/>
              </w:rPr>
              <w:t>HTA</w:t>
            </w:r>
            <w:r w:rsidR="00956561" w:rsidRPr="00BC50B5">
              <w:rPr>
                <w:sz w:val="24"/>
                <w:szCs w:val="24"/>
                <w:lang w:eastAsia="en-US"/>
              </w:rPr>
              <w:t xml:space="preserve"> Code</w:t>
            </w:r>
            <w:r>
              <w:rPr>
                <w:sz w:val="24"/>
                <w:szCs w:val="24"/>
                <w:lang w:eastAsia="en-US"/>
              </w:rPr>
              <w:t>s</w:t>
            </w:r>
            <w:r w:rsidR="00956561" w:rsidRPr="00BC50B5">
              <w:rPr>
                <w:sz w:val="24"/>
                <w:szCs w:val="24"/>
                <w:lang w:eastAsia="en-US"/>
              </w:rPr>
              <w:t xml:space="preserve"> of Practice in </w:t>
            </w:r>
            <w:r w:rsidR="00397A7F" w:rsidRPr="00BC50B5">
              <w:rPr>
                <w:sz w:val="24"/>
                <w:szCs w:val="24"/>
                <w:lang w:eastAsia="en-US"/>
              </w:rPr>
              <w:t>respect of human tissue for which</w:t>
            </w:r>
            <w:r w:rsidR="00956561" w:rsidRPr="00BC50B5">
              <w:rPr>
                <w:sz w:val="24"/>
                <w:szCs w:val="24"/>
                <w:lang w:eastAsia="en-US"/>
              </w:rPr>
              <w:t xml:space="preserve"> the DI has r</w:t>
            </w:r>
            <w:r w:rsidR="00397A7F" w:rsidRPr="00BC50B5">
              <w:rPr>
                <w:sz w:val="24"/>
                <w:szCs w:val="24"/>
                <w:lang w:eastAsia="en-US"/>
              </w:rPr>
              <w:t xml:space="preserve">esponsibility and </w:t>
            </w:r>
            <w:r w:rsidR="000F7CD7">
              <w:rPr>
                <w:sz w:val="24"/>
                <w:szCs w:val="24"/>
                <w:lang w:eastAsia="en-US"/>
              </w:rPr>
              <w:t xml:space="preserve">which </w:t>
            </w:r>
            <w:r w:rsidR="00397A7F" w:rsidRPr="00BC50B5">
              <w:rPr>
                <w:sz w:val="24"/>
                <w:szCs w:val="24"/>
                <w:lang w:eastAsia="en-US"/>
              </w:rPr>
              <w:t>is stored under the auth</w:t>
            </w:r>
            <w:r>
              <w:rPr>
                <w:sz w:val="24"/>
                <w:szCs w:val="24"/>
                <w:lang w:eastAsia="en-US"/>
              </w:rPr>
              <w:t>ority of the University Licence</w:t>
            </w:r>
            <w:r w:rsidR="00397A7F" w:rsidRPr="00BC50B5">
              <w:rPr>
                <w:sz w:val="24"/>
                <w:szCs w:val="24"/>
                <w:lang w:eastAsia="en-US"/>
              </w:rPr>
              <w:t xml:space="preserve"> for research.  This includes making</w:t>
            </w:r>
            <w:r w:rsidR="00602951" w:rsidRPr="00BC50B5">
              <w:rPr>
                <w:sz w:val="24"/>
                <w:szCs w:val="24"/>
                <w:lang w:eastAsia="en-US"/>
              </w:rPr>
              <w:t xml:space="preserve"> sure</w:t>
            </w:r>
            <w:r w:rsidR="00397A7F" w:rsidRPr="00BC50B5">
              <w:rPr>
                <w:sz w:val="24"/>
                <w:szCs w:val="24"/>
                <w:lang w:eastAsia="en-US"/>
              </w:rPr>
              <w:t xml:space="preserve"> </w:t>
            </w:r>
            <w:r w:rsidR="000F7CD7">
              <w:rPr>
                <w:sz w:val="24"/>
                <w:szCs w:val="24"/>
                <w:lang w:eastAsia="en-US"/>
              </w:rPr>
              <w:t xml:space="preserve">that </w:t>
            </w:r>
            <w:r w:rsidR="00397A7F" w:rsidRPr="00BC50B5">
              <w:rPr>
                <w:sz w:val="24"/>
                <w:szCs w:val="24"/>
                <w:lang w:eastAsia="en-US"/>
              </w:rPr>
              <w:t xml:space="preserve">all </w:t>
            </w:r>
            <w:r w:rsidR="00983162" w:rsidRPr="00BC50B5">
              <w:rPr>
                <w:sz w:val="24"/>
                <w:szCs w:val="24"/>
                <w:lang w:eastAsia="en-US"/>
              </w:rPr>
              <w:t xml:space="preserve">relevant </w:t>
            </w:r>
            <w:r w:rsidR="00397A7F" w:rsidRPr="00BC50B5">
              <w:rPr>
                <w:sz w:val="24"/>
                <w:szCs w:val="24"/>
                <w:lang w:eastAsia="en-US"/>
              </w:rPr>
              <w:t>staff</w:t>
            </w:r>
            <w:r w:rsidR="00983162" w:rsidRPr="00BC50B5">
              <w:rPr>
                <w:sz w:val="24"/>
                <w:szCs w:val="24"/>
                <w:lang w:eastAsia="en-US"/>
              </w:rPr>
              <w:t xml:space="preserve"> and students </w:t>
            </w:r>
            <w:r w:rsidR="000F7CD7">
              <w:rPr>
                <w:sz w:val="24"/>
                <w:szCs w:val="24"/>
                <w:lang w:eastAsia="en-US"/>
              </w:rPr>
              <w:t>who</w:t>
            </w:r>
            <w:r w:rsidR="000F7CD7" w:rsidRPr="00BC50B5">
              <w:rPr>
                <w:sz w:val="24"/>
                <w:szCs w:val="24"/>
                <w:lang w:eastAsia="en-US"/>
              </w:rPr>
              <w:t xml:space="preserve"> </w:t>
            </w:r>
            <w:r w:rsidR="00397A7F" w:rsidRPr="00BC50B5">
              <w:rPr>
                <w:sz w:val="24"/>
                <w:szCs w:val="24"/>
                <w:lang w:eastAsia="en-US"/>
              </w:rPr>
              <w:t>collect, store or use such tissue</w:t>
            </w:r>
            <w:r w:rsidR="00956561" w:rsidRPr="00BC50B5">
              <w:rPr>
                <w:sz w:val="24"/>
                <w:szCs w:val="24"/>
                <w:lang w:eastAsia="en-US"/>
              </w:rPr>
              <w:t xml:space="preserve"> are</w:t>
            </w:r>
            <w:r w:rsidR="00397A7F" w:rsidRPr="00BC50B5">
              <w:rPr>
                <w:sz w:val="24"/>
                <w:szCs w:val="24"/>
                <w:lang w:eastAsia="en-US"/>
              </w:rPr>
              <w:t xml:space="preserve"> aware of th</w:t>
            </w:r>
            <w:r w:rsidR="003703A8" w:rsidRPr="00BC50B5">
              <w:rPr>
                <w:sz w:val="24"/>
                <w:szCs w:val="24"/>
                <w:lang w:eastAsia="en-US"/>
              </w:rPr>
              <w:t xml:space="preserve">e </w:t>
            </w:r>
            <w:r w:rsidR="002848E0" w:rsidRPr="00BC50B5">
              <w:rPr>
                <w:sz w:val="24"/>
                <w:szCs w:val="24"/>
                <w:lang w:eastAsia="en-US"/>
              </w:rPr>
              <w:t>University</w:t>
            </w:r>
            <w:r w:rsidR="00397A7F" w:rsidRPr="00BC50B5">
              <w:rPr>
                <w:sz w:val="24"/>
                <w:szCs w:val="24"/>
                <w:lang w:eastAsia="en-US"/>
              </w:rPr>
              <w:t xml:space="preserve"> polic</w:t>
            </w:r>
            <w:r w:rsidR="003703A8" w:rsidRPr="00BC50B5">
              <w:rPr>
                <w:sz w:val="24"/>
                <w:szCs w:val="24"/>
                <w:lang w:eastAsia="en-US"/>
              </w:rPr>
              <w:t>ies and Standard Operating Procedures</w:t>
            </w:r>
            <w:r>
              <w:rPr>
                <w:sz w:val="24"/>
                <w:szCs w:val="24"/>
                <w:lang w:eastAsia="en-US"/>
              </w:rPr>
              <w:t xml:space="preserve"> (SOPs)</w:t>
            </w:r>
            <w:r w:rsidR="00397A7F" w:rsidRPr="00BC50B5">
              <w:rPr>
                <w:sz w:val="24"/>
                <w:szCs w:val="24"/>
                <w:lang w:eastAsia="en-US"/>
              </w:rPr>
              <w:t>.  PDs can ‘direct’ others in relation to the Act on behalf of the DI.</w:t>
            </w:r>
          </w:p>
          <w:p w14:paraId="606E56FB" w14:textId="77777777" w:rsidR="00983162" w:rsidRPr="00BC50B5" w:rsidRDefault="00983162" w:rsidP="006B5C89">
            <w:pPr>
              <w:pStyle w:val="NoSpacing"/>
              <w:jc w:val="both"/>
              <w:rPr>
                <w:sz w:val="24"/>
                <w:szCs w:val="24"/>
                <w:lang w:eastAsia="en-US"/>
              </w:rPr>
            </w:pPr>
          </w:p>
          <w:p w14:paraId="040BC01E" w14:textId="77777777" w:rsidR="00397A7F" w:rsidRPr="00BC50B5" w:rsidRDefault="00397A7F" w:rsidP="006B5C89">
            <w:pPr>
              <w:pStyle w:val="NoSpacing"/>
              <w:jc w:val="both"/>
              <w:rPr>
                <w:sz w:val="24"/>
                <w:szCs w:val="24"/>
                <w:lang w:eastAsia="en-US"/>
              </w:rPr>
            </w:pPr>
            <w:r w:rsidRPr="00BC50B5">
              <w:rPr>
                <w:sz w:val="24"/>
                <w:szCs w:val="24"/>
                <w:lang w:eastAsia="en-US"/>
              </w:rPr>
              <w:t>PDs do not have a legal duty comparable with</w:t>
            </w:r>
            <w:r w:rsidR="009F5EE8" w:rsidRPr="00BC50B5">
              <w:rPr>
                <w:sz w:val="24"/>
                <w:szCs w:val="24"/>
                <w:lang w:eastAsia="en-US"/>
              </w:rPr>
              <w:t xml:space="preserve"> those set out for the DI under </w:t>
            </w:r>
            <w:r w:rsidRPr="00BC50B5">
              <w:rPr>
                <w:sz w:val="24"/>
                <w:szCs w:val="24"/>
                <w:lang w:eastAsia="en-US"/>
              </w:rPr>
              <w:t xml:space="preserve">Section 18 of the HT </w:t>
            </w:r>
            <w:r w:rsidR="00881856" w:rsidRPr="00BC50B5">
              <w:rPr>
                <w:sz w:val="24"/>
                <w:szCs w:val="24"/>
                <w:lang w:eastAsia="en-US"/>
              </w:rPr>
              <w:t>Act</w:t>
            </w:r>
            <w:r w:rsidR="00C343D9" w:rsidRPr="00BC50B5">
              <w:rPr>
                <w:sz w:val="24"/>
                <w:szCs w:val="24"/>
                <w:lang w:eastAsia="en-US"/>
              </w:rPr>
              <w:t xml:space="preserve"> 2004.</w:t>
            </w:r>
            <w:r w:rsidR="00881856" w:rsidRPr="00BC50B5">
              <w:rPr>
                <w:sz w:val="24"/>
                <w:szCs w:val="24"/>
                <w:lang w:eastAsia="en-US"/>
              </w:rPr>
              <w:t xml:space="preserve"> </w:t>
            </w:r>
          </w:p>
          <w:p w14:paraId="51D5E5B6" w14:textId="77777777" w:rsidR="00956561" w:rsidRPr="00BC50B5" w:rsidRDefault="00956561" w:rsidP="006B5C89">
            <w:pPr>
              <w:pStyle w:val="NoSpacing"/>
              <w:jc w:val="both"/>
              <w:rPr>
                <w:sz w:val="24"/>
                <w:szCs w:val="24"/>
                <w:lang w:eastAsia="en-US"/>
              </w:rPr>
            </w:pPr>
          </w:p>
          <w:p w14:paraId="15DA5468" w14:textId="1006FD7F" w:rsidR="00397A7F" w:rsidRPr="00BC50B5" w:rsidRDefault="00BC50B5" w:rsidP="006B5C89">
            <w:pPr>
              <w:pStyle w:val="NoSpacing"/>
              <w:jc w:val="both"/>
              <w:rPr>
                <w:sz w:val="24"/>
                <w:szCs w:val="24"/>
                <w:lang w:eastAsia="en-US"/>
              </w:rPr>
            </w:pPr>
            <w:r w:rsidRPr="00BC50B5">
              <w:rPr>
                <w:sz w:val="24"/>
                <w:szCs w:val="24"/>
                <w:lang w:eastAsia="en-US"/>
              </w:rPr>
              <w:t>The DI and the HTA Monitor in addition to external organisations such as the Medical Research Council or the HTA will provide Training and guidance for PDs</w:t>
            </w:r>
            <w:r w:rsidR="00397A7F" w:rsidRPr="00BC50B5">
              <w:rPr>
                <w:sz w:val="24"/>
                <w:szCs w:val="24"/>
                <w:lang w:eastAsia="en-US"/>
              </w:rPr>
              <w:t>.</w:t>
            </w:r>
            <w:r w:rsidR="00956561" w:rsidRPr="00BC50B5">
              <w:rPr>
                <w:sz w:val="24"/>
                <w:szCs w:val="24"/>
                <w:lang w:eastAsia="en-US"/>
              </w:rPr>
              <w:t xml:space="preserve">  All PDs must demonstrate appropriate training before undertaking the role</w:t>
            </w:r>
            <w:r w:rsidR="002F43E4" w:rsidRPr="00BC50B5">
              <w:rPr>
                <w:sz w:val="24"/>
                <w:szCs w:val="24"/>
                <w:lang w:eastAsia="en-US"/>
              </w:rPr>
              <w:t>.</w:t>
            </w:r>
          </w:p>
          <w:p w14:paraId="73E4D2B9" w14:textId="77777777" w:rsidR="00397A7F" w:rsidRPr="00BC50B5" w:rsidRDefault="00397A7F" w:rsidP="006B5C89">
            <w:pPr>
              <w:pStyle w:val="NoSpacing"/>
              <w:jc w:val="both"/>
              <w:rPr>
                <w:sz w:val="24"/>
                <w:szCs w:val="24"/>
                <w:lang w:eastAsia="en-US"/>
              </w:rPr>
            </w:pPr>
          </w:p>
          <w:p w14:paraId="2C750536" w14:textId="7550EC41" w:rsidR="00397A7F" w:rsidRPr="00BC50B5" w:rsidRDefault="00397A7F" w:rsidP="006B5C89">
            <w:pPr>
              <w:pStyle w:val="NoSpacing"/>
              <w:jc w:val="both"/>
              <w:rPr>
                <w:sz w:val="24"/>
                <w:szCs w:val="24"/>
                <w:lang w:eastAsia="en-US"/>
              </w:rPr>
            </w:pPr>
            <w:r w:rsidRPr="00BC50B5">
              <w:rPr>
                <w:sz w:val="24"/>
                <w:szCs w:val="24"/>
                <w:lang w:eastAsia="en-US"/>
              </w:rPr>
              <w:t>All</w:t>
            </w:r>
            <w:r w:rsidR="001B460E" w:rsidRPr="00BC50B5">
              <w:rPr>
                <w:sz w:val="24"/>
                <w:szCs w:val="24"/>
                <w:lang w:eastAsia="en-US"/>
              </w:rPr>
              <w:t xml:space="preserve"> University of Leicester staff, </w:t>
            </w:r>
            <w:r w:rsidR="00674FD4" w:rsidRPr="00BC50B5">
              <w:rPr>
                <w:sz w:val="24"/>
                <w:szCs w:val="24"/>
                <w:lang w:eastAsia="en-US"/>
              </w:rPr>
              <w:t xml:space="preserve">students and </w:t>
            </w:r>
            <w:r w:rsidR="001B460E" w:rsidRPr="00BC50B5">
              <w:rPr>
                <w:sz w:val="24"/>
                <w:szCs w:val="24"/>
                <w:lang w:eastAsia="en-US"/>
              </w:rPr>
              <w:t>i</w:t>
            </w:r>
            <w:r w:rsidR="00674FD4" w:rsidRPr="00BC50B5">
              <w:rPr>
                <w:sz w:val="24"/>
                <w:szCs w:val="24"/>
                <w:lang w:eastAsia="en-US"/>
              </w:rPr>
              <w:t>ndividuals</w:t>
            </w:r>
            <w:r w:rsidR="001B460E" w:rsidRPr="00BC50B5">
              <w:rPr>
                <w:sz w:val="24"/>
                <w:szCs w:val="24"/>
                <w:lang w:eastAsia="en-US"/>
              </w:rPr>
              <w:t xml:space="preserve"> employed by external </w:t>
            </w:r>
            <w:r w:rsidR="00957271" w:rsidRPr="00BC50B5">
              <w:rPr>
                <w:sz w:val="24"/>
                <w:szCs w:val="24"/>
                <w:lang w:eastAsia="en-US"/>
              </w:rPr>
              <w:t>organisations collecting</w:t>
            </w:r>
            <w:r w:rsidRPr="00BC50B5">
              <w:rPr>
                <w:sz w:val="24"/>
                <w:szCs w:val="24"/>
                <w:lang w:eastAsia="en-US"/>
              </w:rPr>
              <w:t>, storing or using human tissue for research under the University</w:t>
            </w:r>
            <w:r w:rsidR="00957271" w:rsidRPr="00BC50B5">
              <w:rPr>
                <w:sz w:val="24"/>
                <w:szCs w:val="24"/>
                <w:lang w:eastAsia="en-US"/>
              </w:rPr>
              <w:t xml:space="preserve"> </w:t>
            </w:r>
            <w:r w:rsidRPr="00BC50B5">
              <w:rPr>
                <w:sz w:val="24"/>
                <w:szCs w:val="24"/>
                <w:lang w:eastAsia="en-US"/>
              </w:rPr>
              <w:t>licence are accountable to the DI for undertaking work in compliance with th</w:t>
            </w:r>
            <w:r w:rsidR="00674FD4" w:rsidRPr="00BC50B5">
              <w:rPr>
                <w:sz w:val="24"/>
                <w:szCs w:val="24"/>
                <w:lang w:eastAsia="en-US"/>
              </w:rPr>
              <w:t>e HT Act</w:t>
            </w:r>
            <w:r w:rsidRPr="00BC50B5">
              <w:rPr>
                <w:sz w:val="24"/>
                <w:szCs w:val="24"/>
                <w:lang w:eastAsia="en-US"/>
              </w:rPr>
              <w:t xml:space="preserve">. </w:t>
            </w:r>
            <w:r w:rsidR="009F5EE8" w:rsidRPr="00BC50B5">
              <w:rPr>
                <w:sz w:val="24"/>
                <w:szCs w:val="24"/>
                <w:lang w:eastAsia="en-US"/>
              </w:rPr>
              <w:t xml:space="preserve"> </w:t>
            </w:r>
            <w:r w:rsidRPr="00BC50B5">
              <w:rPr>
                <w:sz w:val="24"/>
                <w:szCs w:val="24"/>
                <w:lang w:eastAsia="en-US"/>
              </w:rPr>
              <w:t>In compliance with the research licence issued by the HTA, the University expects all persons operating on University sites</w:t>
            </w:r>
            <w:r w:rsidR="00B06479">
              <w:rPr>
                <w:sz w:val="24"/>
                <w:szCs w:val="24"/>
                <w:lang w:eastAsia="en-US"/>
              </w:rPr>
              <w:t xml:space="preserve"> to comply with the HT</w:t>
            </w:r>
            <w:r w:rsidRPr="00BC50B5">
              <w:rPr>
                <w:sz w:val="24"/>
                <w:szCs w:val="24"/>
                <w:lang w:eastAsia="en-US"/>
              </w:rPr>
              <w:t xml:space="preserve"> Act and its subsequent amendments, and to comply with all Codes of Practice issued by the HTA and relevant Univer</w:t>
            </w:r>
            <w:r w:rsidR="00B06479">
              <w:rPr>
                <w:sz w:val="24"/>
                <w:szCs w:val="24"/>
                <w:lang w:eastAsia="en-US"/>
              </w:rPr>
              <w:t>sity wide and/or local SOPs</w:t>
            </w:r>
            <w:r w:rsidRPr="00BC50B5">
              <w:rPr>
                <w:sz w:val="24"/>
                <w:szCs w:val="24"/>
                <w:lang w:eastAsia="en-US"/>
              </w:rPr>
              <w:t>.</w:t>
            </w:r>
          </w:p>
          <w:p w14:paraId="2055A1CA" w14:textId="77777777" w:rsidR="00397A7F" w:rsidRPr="00BC50B5" w:rsidRDefault="00397A7F" w:rsidP="006B5C89">
            <w:pPr>
              <w:pStyle w:val="NoSpacing"/>
              <w:jc w:val="both"/>
              <w:rPr>
                <w:sz w:val="24"/>
                <w:szCs w:val="24"/>
                <w:lang w:eastAsia="en-US"/>
              </w:rPr>
            </w:pPr>
          </w:p>
          <w:p w14:paraId="102C8C91" w14:textId="696EC7DF" w:rsidR="00397A7F" w:rsidRPr="00BC50B5" w:rsidRDefault="00397A7F" w:rsidP="006B5C89">
            <w:pPr>
              <w:pStyle w:val="NoSpacing"/>
              <w:jc w:val="both"/>
              <w:rPr>
                <w:sz w:val="24"/>
                <w:szCs w:val="24"/>
                <w:lang w:eastAsia="en-US"/>
              </w:rPr>
            </w:pPr>
            <w:r w:rsidRPr="00BC50B5">
              <w:rPr>
                <w:sz w:val="24"/>
                <w:szCs w:val="24"/>
                <w:lang w:eastAsia="en-US"/>
              </w:rPr>
              <w:t>The HT</w:t>
            </w:r>
            <w:r w:rsidR="00957271" w:rsidRPr="00BC50B5">
              <w:rPr>
                <w:sz w:val="24"/>
                <w:szCs w:val="24"/>
                <w:lang w:eastAsia="en-US"/>
              </w:rPr>
              <w:t xml:space="preserve">A has taken the view that </w:t>
            </w:r>
            <w:r w:rsidRPr="00BC50B5">
              <w:rPr>
                <w:sz w:val="24"/>
                <w:szCs w:val="24"/>
                <w:lang w:eastAsia="en-US"/>
              </w:rPr>
              <w:t>PD</w:t>
            </w:r>
            <w:r w:rsidR="00957271" w:rsidRPr="00BC50B5">
              <w:rPr>
                <w:sz w:val="24"/>
                <w:szCs w:val="24"/>
                <w:lang w:eastAsia="en-US"/>
              </w:rPr>
              <w:t>s</w:t>
            </w:r>
            <w:r w:rsidRPr="00BC50B5">
              <w:rPr>
                <w:sz w:val="24"/>
                <w:szCs w:val="24"/>
                <w:lang w:eastAsia="en-US"/>
              </w:rPr>
              <w:t xml:space="preserve"> need to have </w:t>
            </w:r>
            <w:r w:rsidR="00957271" w:rsidRPr="00BC50B5">
              <w:rPr>
                <w:sz w:val="24"/>
                <w:szCs w:val="24"/>
                <w:lang w:eastAsia="en-US"/>
              </w:rPr>
              <w:t xml:space="preserve">a </w:t>
            </w:r>
            <w:r w:rsidRPr="00BC50B5">
              <w:rPr>
                <w:sz w:val="24"/>
                <w:szCs w:val="24"/>
                <w:lang w:eastAsia="en-US"/>
              </w:rPr>
              <w:t xml:space="preserve">knowledge and understanding of the HT Act </w:t>
            </w:r>
            <w:r w:rsidR="008668F1" w:rsidRPr="00BC50B5">
              <w:rPr>
                <w:sz w:val="24"/>
                <w:szCs w:val="24"/>
                <w:lang w:eastAsia="en-US"/>
              </w:rPr>
              <w:t xml:space="preserve">2004 </w:t>
            </w:r>
            <w:r w:rsidRPr="00BC50B5">
              <w:rPr>
                <w:sz w:val="24"/>
                <w:szCs w:val="24"/>
                <w:lang w:eastAsia="en-US"/>
              </w:rPr>
              <w:t xml:space="preserve">and the relevant Codes of Practice. </w:t>
            </w:r>
            <w:r w:rsidR="00E10AAF" w:rsidRPr="00BC50B5">
              <w:rPr>
                <w:sz w:val="24"/>
                <w:szCs w:val="24"/>
                <w:lang w:eastAsia="en-US"/>
              </w:rPr>
              <w:t xml:space="preserve"> </w:t>
            </w:r>
            <w:r w:rsidRPr="00BC50B5">
              <w:rPr>
                <w:sz w:val="24"/>
                <w:szCs w:val="24"/>
                <w:lang w:eastAsia="en-US"/>
              </w:rPr>
              <w:t>She/he should demonstrate managerial capability,</w:t>
            </w:r>
            <w:r w:rsidR="00A03999" w:rsidRPr="00BC50B5">
              <w:rPr>
                <w:sz w:val="24"/>
                <w:szCs w:val="24"/>
                <w:lang w:eastAsia="en-US"/>
              </w:rPr>
              <w:t xml:space="preserve"> as well as </w:t>
            </w:r>
            <w:r w:rsidR="00957271" w:rsidRPr="00BC50B5">
              <w:rPr>
                <w:sz w:val="24"/>
                <w:szCs w:val="24"/>
                <w:lang w:eastAsia="en-US"/>
              </w:rPr>
              <w:t>assist</w:t>
            </w:r>
            <w:r w:rsidR="00A03999" w:rsidRPr="00BC50B5">
              <w:rPr>
                <w:sz w:val="24"/>
                <w:szCs w:val="24"/>
                <w:lang w:eastAsia="en-US"/>
              </w:rPr>
              <w:t>ing</w:t>
            </w:r>
            <w:r w:rsidR="00BC50B5">
              <w:rPr>
                <w:sz w:val="24"/>
                <w:szCs w:val="24"/>
                <w:lang w:eastAsia="en-US"/>
              </w:rPr>
              <w:t xml:space="preserve"> the DI and REGI</w:t>
            </w:r>
            <w:r w:rsidR="00957271" w:rsidRPr="00BC50B5">
              <w:rPr>
                <w:sz w:val="24"/>
                <w:szCs w:val="24"/>
                <w:lang w:eastAsia="en-US"/>
              </w:rPr>
              <w:t xml:space="preserve"> with the development and </w:t>
            </w:r>
            <w:r w:rsidRPr="00BC50B5">
              <w:rPr>
                <w:sz w:val="24"/>
                <w:szCs w:val="24"/>
                <w:lang w:eastAsia="en-US"/>
              </w:rPr>
              <w:t>implementation of quality management systems</w:t>
            </w:r>
            <w:r w:rsidR="00957271" w:rsidRPr="00BC50B5">
              <w:rPr>
                <w:sz w:val="24"/>
                <w:szCs w:val="24"/>
                <w:lang w:eastAsia="en-US"/>
              </w:rPr>
              <w:t xml:space="preserve">.  </w:t>
            </w:r>
            <w:r w:rsidRPr="00BC50B5">
              <w:rPr>
                <w:sz w:val="24"/>
                <w:szCs w:val="24"/>
                <w:lang w:eastAsia="en-US"/>
              </w:rPr>
              <w:t>Importantly, she/he should</w:t>
            </w:r>
            <w:r w:rsidR="00957271" w:rsidRPr="00BC50B5">
              <w:rPr>
                <w:sz w:val="24"/>
                <w:szCs w:val="24"/>
                <w:lang w:eastAsia="en-US"/>
              </w:rPr>
              <w:t xml:space="preserve"> be given </w:t>
            </w:r>
            <w:r w:rsidRPr="00BC50B5">
              <w:rPr>
                <w:sz w:val="24"/>
                <w:szCs w:val="24"/>
                <w:lang w:eastAsia="en-US"/>
              </w:rPr>
              <w:t xml:space="preserve">time </w:t>
            </w:r>
            <w:r w:rsidR="00E10AAF" w:rsidRPr="00BC50B5">
              <w:rPr>
                <w:sz w:val="24"/>
                <w:szCs w:val="24"/>
                <w:lang w:eastAsia="en-US"/>
              </w:rPr>
              <w:t xml:space="preserve">(estimated at </w:t>
            </w:r>
            <w:r w:rsidR="00F53AE1">
              <w:rPr>
                <w:sz w:val="24"/>
                <w:szCs w:val="24"/>
                <w:lang w:eastAsia="en-US"/>
              </w:rPr>
              <w:t>10</w:t>
            </w:r>
            <w:r w:rsidR="00E10AAF" w:rsidRPr="00BC50B5">
              <w:rPr>
                <w:sz w:val="24"/>
                <w:szCs w:val="24"/>
                <w:lang w:eastAsia="en-US"/>
              </w:rPr>
              <w:t xml:space="preserve">% of a WTE post) </w:t>
            </w:r>
            <w:r w:rsidRPr="00BC50B5">
              <w:rPr>
                <w:sz w:val="24"/>
                <w:szCs w:val="24"/>
                <w:lang w:eastAsia="en-US"/>
              </w:rPr>
              <w:t xml:space="preserve">within their substantive role to carry out the responsibilities of the </w:t>
            </w:r>
            <w:r w:rsidR="00823EE5" w:rsidRPr="00BC50B5">
              <w:rPr>
                <w:sz w:val="24"/>
                <w:szCs w:val="24"/>
                <w:lang w:eastAsia="en-US"/>
              </w:rPr>
              <w:t>P</w:t>
            </w:r>
            <w:r w:rsidRPr="00BC50B5">
              <w:rPr>
                <w:sz w:val="24"/>
                <w:szCs w:val="24"/>
                <w:lang w:eastAsia="en-US"/>
              </w:rPr>
              <w:t xml:space="preserve">D and </w:t>
            </w:r>
            <w:r w:rsidR="00957271" w:rsidRPr="00BC50B5">
              <w:rPr>
                <w:sz w:val="24"/>
                <w:szCs w:val="24"/>
                <w:lang w:eastAsia="en-US"/>
              </w:rPr>
              <w:t xml:space="preserve">should provide local guidance </w:t>
            </w:r>
            <w:r w:rsidR="00B06479" w:rsidRPr="00BC50B5">
              <w:rPr>
                <w:sz w:val="24"/>
                <w:szCs w:val="24"/>
                <w:lang w:eastAsia="en-US"/>
              </w:rPr>
              <w:t>concerning</w:t>
            </w:r>
            <w:r w:rsidR="00957271" w:rsidRPr="00BC50B5">
              <w:rPr>
                <w:sz w:val="24"/>
                <w:szCs w:val="24"/>
                <w:lang w:eastAsia="en-US"/>
              </w:rPr>
              <w:t xml:space="preserve"> HTA </w:t>
            </w:r>
            <w:r w:rsidRPr="00BC50B5">
              <w:rPr>
                <w:sz w:val="24"/>
                <w:szCs w:val="24"/>
                <w:lang w:eastAsia="en-US"/>
              </w:rPr>
              <w:t>compliance.</w:t>
            </w:r>
          </w:p>
          <w:p w14:paraId="18194369" w14:textId="77777777" w:rsidR="00397A7F" w:rsidRPr="00BC50B5" w:rsidRDefault="00397A7F" w:rsidP="006B5C89">
            <w:pPr>
              <w:pStyle w:val="NoSpacing"/>
              <w:jc w:val="both"/>
              <w:rPr>
                <w:sz w:val="24"/>
                <w:szCs w:val="24"/>
                <w:lang w:eastAsia="en-US"/>
              </w:rPr>
            </w:pPr>
          </w:p>
          <w:p w14:paraId="1C3BD77B" w14:textId="3DF66665" w:rsidR="00397A7F" w:rsidRPr="00BC50B5" w:rsidRDefault="00397A7F" w:rsidP="006B5C89">
            <w:pPr>
              <w:pStyle w:val="NoSpacing"/>
              <w:jc w:val="both"/>
              <w:rPr>
                <w:sz w:val="24"/>
                <w:szCs w:val="24"/>
                <w:lang w:eastAsia="en-US"/>
              </w:rPr>
            </w:pPr>
            <w:r w:rsidRPr="00BC50B5">
              <w:rPr>
                <w:sz w:val="24"/>
                <w:szCs w:val="24"/>
                <w:lang w:eastAsia="en-US"/>
              </w:rPr>
              <w:t xml:space="preserve">It is a condition of a licence that PDs complete </w:t>
            </w:r>
            <w:r w:rsidR="00BC50B5">
              <w:rPr>
                <w:sz w:val="24"/>
                <w:szCs w:val="24"/>
                <w:lang w:eastAsia="en-US"/>
              </w:rPr>
              <w:t xml:space="preserve">specified </w:t>
            </w:r>
            <w:r w:rsidRPr="00BC50B5">
              <w:rPr>
                <w:sz w:val="24"/>
                <w:szCs w:val="24"/>
                <w:lang w:eastAsia="en-US"/>
              </w:rPr>
              <w:t xml:space="preserve">HTA training. </w:t>
            </w:r>
            <w:r w:rsidR="00B06479">
              <w:rPr>
                <w:sz w:val="24"/>
                <w:szCs w:val="24"/>
                <w:lang w:eastAsia="en-US"/>
              </w:rPr>
              <w:t>A PD</w:t>
            </w:r>
            <w:r w:rsidRPr="00BC50B5">
              <w:rPr>
                <w:sz w:val="24"/>
                <w:szCs w:val="24"/>
                <w:lang w:eastAsia="en-US"/>
              </w:rPr>
              <w:t xml:space="preserve"> under the Human Tissue Act is accounta</w:t>
            </w:r>
            <w:r w:rsidR="00B06479">
              <w:rPr>
                <w:sz w:val="24"/>
                <w:szCs w:val="24"/>
                <w:lang w:eastAsia="en-US"/>
              </w:rPr>
              <w:t>ble to the DI</w:t>
            </w:r>
            <w:r w:rsidRPr="00BC50B5">
              <w:rPr>
                <w:sz w:val="24"/>
                <w:szCs w:val="24"/>
                <w:lang w:eastAsia="en-US"/>
              </w:rPr>
              <w:t xml:space="preserve"> on behalf of the Licence Holder (corporate entit</w:t>
            </w:r>
            <w:r w:rsidR="008E3482" w:rsidRPr="00BC50B5">
              <w:rPr>
                <w:sz w:val="24"/>
                <w:szCs w:val="24"/>
                <w:lang w:eastAsia="en-US"/>
              </w:rPr>
              <w:t>y of the U</w:t>
            </w:r>
            <w:r w:rsidR="00957271" w:rsidRPr="00BC50B5">
              <w:rPr>
                <w:sz w:val="24"/>
                <w:szCs w:val="24"/>
                <w:lang w:eastAsia="en-US"/>
              </w:rPr>
              <w:t>niversity).</w:t>
            </w:r>
          </w:p>
          <w:p w14:paraId="3EC65656" w14:textId="77777777" w:rsidR="00DF4917" w:rsidRPr="00BC50B5" w:rsidRDefault="00DF4917" w:rsidP="006B5C89">
            <w:pPr>
              <w:pStyle w:val="NoSpacing"/>
              <w:jc w:val="both"/>
              <w:rPr>
                <w:sz w:val="24"/>
                <w:szCs w:val="24"/>
                <w:lang w:eastAsia="en-US"/>
              </w:rPr>
            </w:pPr>
          </w:p>
          <w:p w14:paraId="391A8F9A" w14:textId="2145907C" w:rsidR="008A19A1" w:rsidRDefault="00B06479" w:rsidP="006B5C89">
            <w:pPr>
              <w:pStyle w:val="NoSpacing"/>
              <w:jc w:val="both"/>
              <w:rPr>
                <w:sz w:val="24"/>
                <w:szCs w:val="24"/>
                <w:lang w:eastAsia="en-US"/>
              </w:rPr>
            </w:pPr>
            <w:r>
              <w:rPr>
                <w:sz w:val="24"/>
                <w:szCs w:val="24"/>
                <w:lang w:eastAsia="en-US"/>
              </w:rPr>
              <w:lastRenderedPageBreak/>
              <w:t>PD’s under the HT</w:t>
            </w:r>
            <w:r w:rsidR="00A05448" w:rsidRPr="00BC50B5">
              <w:rPr>
                <w:sz w:val="24"/>
                <w:szCs w:val="24"/>
                <w:lang w:eastAsia="en-US"/>
              </w:rPr>
              <w:t xml:space="preserve"> Act </w:t>
            </w:r>
            <w:r w:rsidR="00397A7F" w:rsidRPr="00BC50B5">
              <w:rPr>
                <w:sz w:val="24"/>
                <w:szCs w:val="24"/>
                <w:lang w:eastAsia="en-US"/>
              </w:rPr>
              <w:t>are directly accountable in l</w:t>
            </w:r>
            <w:r>
              <w:rPr>
                <w:sz w:val="24"/>
                <w:szCs w:val="24"/>
                <w:lang w:eastAsia="en-US"/>
              </w:rPr>
              <w:t>ine management to the DI</w:t>
            </w:r>
            <w:r w:rsidR="00397A7F" w:rsidRPr="00BC50B5">
              <w:rPr>
                <w:sz w:val="24"/>
                <w:szCs w:val="24"/>
                <w:lang w:eastAsia="en-US"/>
              </w:rPr>
              <w:t xml:space="preserve"> in relation to any activities pertaining to </w:t>
            </w:r>
            <w:r w:rsidR="00657744" w:rsidRPr="00BC50B5">
              <w:rPr>
                <w:sz w:val="24"/>
                <w:szCs w:val="24"/>
                <w:lang w:eastAsia="en-US"/>
              </w:rPr>
              <w:t xml:space="preserve">the collection, storage and </w:t>
            </w:r>
            <w:r w:rsidR="00397A7F" w:rsidRPr="00BC50B5">
              <w:rPr>
                <w:sz w:val="24"/>
                <w:szCs w:val="24"/>
                <w:lang w:eastAsia="en-US"/>
              </w:rPr>
              <w:t xml:space="preserve">use of human tissues under the </w:t>
            </w:r>
            <w:r w:rsidR="00657744" w:rsidRPr="00BC50B5">
              <w:rPr>
                <w:sz w:val="24"/>
                <w:szCs w:val="24"/>
                <w:lang w:eastAsia="en-US"/>
              </w:rPr>
              <w:t xml:space="preserve">University of Leicester’s </w:t>
            </w:r>
            <w:r w:rsidR="00E10AAF" w:rsidRPr="00BC50B5">
              <w:rPr>
                <w:sz w:val="24"/>
                <w:szCs w:val="24"/>
                <w:lang w:eastAsia="en-US"/>
              </w:rPr>
              <w:t xml:space="preserve">HTA </w:t>
            </w:r>
            <w:r w:rsidR="00657744" w:rsidRPr="00BC50B5">
              <w:rPr>
                <w:sz w:val="24"/>
                <w:szCs w:val="24"/>
                <w:lang w:eastAsia="en-US"/>
              </w:rPr>
              <w:t>Research Licence</w:t>
            </w:r>
            <w:r w:rsidR="00397A7F" w:rsidRPr="00BC50B5">
              <w:rPr>
                <w:sz w:val="24"/>
                <w:szCs w:val="24"/>
                <w:lang w:eastAsia="en-US"/>
              </w:rPr>
              <w:t>.</w:t>
            </w:r>
          </w:p>
          <w:p w14:paraId="04C4B526" w14:textId="77777777" w:rsidR="000F7CD7" w:rsidRPr="00BC50B5" w:rsidRDefault="000F7CD7" w:rsidP="006B5C89">
            <w:pPr>
              <w:pStyle w:val="NoSpacing"/>
              <w:jc w:val="both"/>
              <w:rPr>
                <w:sz w:val="24"/>
                <w:szCs w:val="24"/>
                <w:lang w:eastAsia="en-US"/>
              </w:rPr>
            </w:pPr>
          </w:p>
          <w:p w14:paraId="67826827" w14:textId="21974691" w:rsidR="00397A7F" w:rsidRDefault="00B06479" w:rsidP="006B5C89">
            <w:pPr>
              <w:pStyle w:val="NoSpacing"/>
              <w:jc w:val="both"/>
              <w:rPr>
                <w:sz w:val="24"/>
                <w:szCs w:val="24"/>
                <w:lang w:eastAsia="en-US"/>
              </w:rPr>
            </w:pPr>
            <w:r>
              <w:rPr>
                <w:sz w:val="24"/>
                <w:szCs w:val="24"/>
                <w:lang w:eastAsia="en-US"/>
              </w:rPr>
              <w:t>PD’s</w:t>
            </w:r>
            <w:r w:rsidR="00397A7F" w:rsidRPr="00BC50B5">
              <w:rPr>
                <w:sz w:val="24"/>
                <w:szCs w:val="24"/>
                <w:lang w:eastAsia="en-US"/>
              </w:rPr>
              <w:t xml:space="preserve"> are </w:t>
            </w:r>
            <w:r w:rsidR="000F7CD7">
              <w:rPr>
                <w:sz w:val="24"/>
                <w:szCs w:val="24"/>
                <w:lang w:eastAsia="en-US"/>
              </w:rPr>
              <w:t>listed</w:t>
            </w:r>
            <w:r w:rsidR="00397A7F" w:rsidRPr="00BC50B5">
              <w:rPr>
                <w:sz w:val="24"/>
                <w:szCs w:val="24"/>
                <w:lang w:eastAsia="en-US"/>
              </w:rPr>
              <w:t xml:space="preserve"> on the </w:t>
            </w:r>
            <w:r w:rsidR="00A05448" w:rsidRPr="00BC50B5">
              <w:rPr>
                <w:sz w:val="24"/>
                <w:szCs w:val="24"/>
                <w:lang w:eastAsia="en-US"/>
              </w:rPr>
              <w:t xml:space="preserve">HTA </w:t>
            </w:r>
            <w:r w:rsidR="00397A7F" w:rsidRPr="00BC50B5">
              <w:rPr>
                <w:sz w:val="24"/>
                <w:szCs w:val="24"/>
                <w:lang w:eastAsia="en-US"/>
              </w:rPr>
              <w:t xml:space="preserve">Licence in a notice to the HTA. </w:t>
            </w:r>
            <w:r w:rsidR="00E479F4">
              <w:rPr>
                <w:sz w:val="24"/>
                <w:szCs w:val="24"/>
                <w:lang w:eastAsia="en-US"/>
              </w:rPr>
              <w:t>They are then regarded as PD’s</w:t>
            </w:r>
            <w:r w:rsidR="00397A7F" w:rsidRPr="00BC50B5">
              <w:rPr>
                <w:sz w:val="24"/>
                <w:szCs w:val="24"/>
                <w:lang w:eastAsia="en-US"/>
              </w:rPr>
              <w:t>, as a person to whom the licence applies</w:t>
            </w:r>
            <w:r w:rsidR="000F7CD7">
              <w:rPr>
                <w:sz w:val="24"/>
                <w:szCs w:val="24"/>
                <w:lang w:eastAsia="en-US"/>
              </w:rPr>
              <w:t>, and</w:t>
            </w:r>
            <w:r w:rsidR="00397A7F" w:rsidRPr="00BC50B5">
              <w:rPr>
                <w:sz w:val="24"/>
                <w:szCs w:val="24"/>
                <w:lang w:eastAsia="en-US"/>
              </w:rPr>
              <w:t xml:space="preserve"> to whom the authority conferred by the licence extends.</w:t>
            </w:r>
          </w:p>
          <w:p w14:paraId="3D830B4A" w14:textId="77777777" w:rsidR="000F7CD7" w:rsidRPr="00BC50B5" w:rsidRDefault="000F7CD7" w:rsidP="006B5C89">
            <w:pPr>
              <w:pStyle w:val="NoSpacing"/>
              <w:jc w:val="both"/>
              <w:rPr>
                <w:sz w:val="24"/>
                <w:szCs w:val="24"/>
                <w:lang w:eastAsia="en-US"/>
              </w:rPr>
            </w:pPr>
          </w:p>
          <w:p w14:paraId="42630D92" w14:textId="3F3775CA" w:rsidR="000F7CD7" w:rsidRDefault="00397A7F" w:rsidP="006B5C89">
            <w:pPr>
              <w:pStyle w:val="NoSpacing"/>
              <w:jc w:val="both"/>
              <w:rPr>
                <w:sz w:val="24"/>
                <w:szCs w:val="24"/>
                <w:lang w:eastAsia="en-US"/>
              </w:rPr>
            </w:pPr>
            <w:r w:rsidRPr="00BC50B5">
              <w:rPr>
                <w:sz w:val="24"/>
                <w:szCs w:val="24"/>
                <w:lang w:eastAsia="en-US"/>
              </w:rPr>
              <w:t>Section 17 of the HT Act states that the authority conferred by a licence extends to any person who is designated as a person to whom the licence applies by a Notice given to the HTA by the DI</w:t>
            </w:r>
            <w:r w:rsidR="000F7CD7">
              <w:rPr>
                <w:sz w:val="24"/>
                <w:szCs w:val="24"/>
                <w:lang w:eastAsia="en-US"/>
              </w:rPr>
              <w:t>,</w:t>
            </w:r>
            <w:r w:rsidRPr="00BC50B5">
              <w:rPr>
                <w:sz w:val="24"/>
                <w:szCs w:val="24"/>
                <w:lang w:eastAsia="en-US"/>
              </w:rPr>
              <w:t xml:space="preserve"> and to any person acting under the dire</w:t>
            </w:r>
            <w:r w:rsidR="00E479F4">
              <w:rPr>
                <w:sz w:val="24"/>
                <w:szCs w:val="24"/>
                <w:lang w:eastAsia="en-US"/>
              </w:rPr>
              <w:t>ction of such a PD</w:t>
            </w:r>
            <w:r w:rsidRPr="00BC50B5">
              <w:rPr>
                <w:sz w:val="24"/>
                <w:szCs w:val="24"/>
                <w:lang w:eastAsia="en-US"/>
              </w:rPr>
              <w:t>.</w:t>
            </w:r>
            <w:r w:rsidR="009F5EE8" w:rsidRPr="00BC50B5">
              <w:rPr>
                <w:sz w:val="24"/>
                <w:szCs w:val="24"/>
                <w:lang w:eastAsia="en-US"/>
              </w:rPr>
              <w:t xml:space="preserve"> </w:t>
            </w:r>
            <w:r w:rsidRPr="00BC50B5">
              <w:rPr>
                <w:sz w:val="24"/>
                <w:szCs w:val="24"/>
                <w:lang w:eastAsia="en-US"/>
              </w:rPr>
              <w:t>Other people can work under th</w:t>
            </w:r>
            <w:r w:rsidR="00E479F4">
              <w:rPr>
                <w:sz w:val="24"/>
                <w:szCs w:val="24"/>
                <w:lang w:eastAsia="en-US"/>
              </w:rPr>
              <w:t>e direction of PD’s</w:t>
            </w:r>
            <w:r w:rsidRPr="00BC50B5">
              <w:rPr>
                <w:sz w:val="24"/>
                <w:szCs w:val="24"/>
                <w:lang w:eastAsia="en-US"/>
              </w:rPr>
              <w:t xml:space="preserve"> as a person to whom the licence applies.</w:t>
            </w:r>
          </w:p>
          <w:p w14:paraId="5C698525" w14:textId="7E4BF0D5" w:rsidR="00A30766" w:rsidRPr="008C2B18" w:rsidRDefault="00397A7F" w:rsidP="006B5C89">
            <w:pPr>
              <w:pStyle w:val="NoSpacing"/>
              <w:jc w:val="both"/>
              <w:rPr>
                <w:rFonts w:asciiTheme="minorHAnsi" w:hAnsiTheme="minorHAnsi"/>
                <w:sz w:val="24"/>
                <w:szCs w:val="24"/>
                <w:lang w:eastAsia="en-US"/>
              </w:rPr>
            </w:pPr>
            <w:r w:rsidRPr="008C2B18">
              <w:rPr>
                <w:rFonts w:asciiTheme="minorHAnsi" w:hAnsiTheme="minorHAnsi"/>
                <w:sz w:val="24"/>
                <w:szCs w:val="24"/>
                <w:lang w:eastAsia="en-US"/>
              </w:rPr>
              <w:t xml:space="preserve"> </w:t>
            </w:r>
          </w:p>
        </w:tc>
      </w:tr>
      <w:tr w:rsidR="00244C2F" w:rsidRPr="00B57C41" w14:paraId="724F166D" w14:textId="77777777" w:rsidTr="007053CE">
        <w:tc>
          <w:tcPr>
            <w:tcW w:w="9464" w:type="dxa"/>
          </w:tcPr>
          <w:p w14:paraId="60806F47" w14:textId="5CF1BB14" w:rsidR="00244C2F" w:rsidRPr="003F5672" w:rsidRDefault="00244C2F" w:rsidP="001845AD">
            <w:pPr>
              <w:tabs>
                <w:tab w:val="left" w:pos="3402"/>
              </w:tabs>
              <w:spacing w:after="120" w:line="240" w:lineRule="auto"/>
              <w:jc w:val="both"/>
              <w:rPr>
                <w:rFonts w:eastAsia="Times New Roman"/>
                <w:b/>
                <w:sz w:val="24"/>
                <w:szCs w:val="24"/>
                <w:lang w:eastAsia="en-US"/>
              </w:rPr>
            </w:pPr>
            <w:r w:rsidRPr="003F5672">
              <w:rPr>
                <w:rFonts w:eastAsia="Times New Roman"/>
                <w:sz w:val="28"/>
                <w:szCs w:val="24"/>
                <w:lang w:eastAsia="en-US"/>
              </w:rPr>
              <w:lastRenderedPageBreak/>
              <w:t>Principal Accountabilities</w:t>
            </w:r>
            <w:r w:rsidRPr="003F5672">
              <w:rPr>
                <w:rFonts w:eastAsia="Times New Roman"/>
                <w:b/>
                <w:sz w:val="28"/>
                <w:szCs w:val="24"/>
                <w:lang w:eastAsia="en-US"/>
              </w:rPr>
              <w:t xml:space="preserve"> </w:t>
            </w:r>
            <w:r w:rsidRPr="003F5672">
              <w:rPr>
                <w:rFonts w:eastAsia="Times New Roman"/>
                <w:sz w:val="28"/>
                <w:szCs w:val="24"/>
                <w:lang w:eastAsia="en-US"/>
              </w:rPr>
              <w:t>(Responsibilities)</w:t>
            </w:r>
            <w:r w:rsidR="005115D3">
              <w:rPr>
                <w:rFonts w:eastAsia="Times New Roman"/>
                <w:sz w:val="28"/>
                <w:szCs w:val="24"/>
                <w:lang w:eastAsia="en-US"/>
              </w:rPr>
              <w:t xml:space="preserve"> of the Persons Designated</w:t>
            </w:r>
            <w:r w:rsidRPr="003F5672">
              <w:rPr>
                <w:rFonts w:eastAsia="Times New Roman"/>
                <w:sz w:val="28"/>
                <w:szCs w:val="24"/>
                <w:lang w:eastAsia="en-US"/>
              </w:rPr>
              <w:t>:</w:t>
            </w:r>
          </w:p>
          <w:p w14:paraId="2429DFE1" w14:textId="77777777" w:rsidR="00B44A3F" w:rsidRPr="003F5672" w:rsidRDefault="00B44A3F" w:rsidP="001845AD">
            <w:pPr>
              <w:pStyle w:val="NoSpacing"/>
              <w:spacing w:after="120"/>
              <w:jc w:val="both"/>
              <w:rPr>
                <w:sz w:val="24"/>
                <w:szCs w:val="24"/>
                <w:lang w:eastAsia="en-US"/>
              </w:rPr>
            </w:pPr>
          </w:p>
          <w:p w14:paraId="50A47918" w14:textId="3A88FDC7" w:rsidR="005115D3" w:rsidRPr="00D05D60" w:rsidRDefault="007514A1" w:rsidP="00FC0705">
            <w:pPr>
              <w:pStyle w:val="NoSpacing"/>
              <w:numPr>
                <w:ilvl w:val="0"/>
                <w:numId w:val="16"/>
              </w:numPr>
              <w:spacing w:after="120"/>
              <w:jc w:val="both"/>
              <w:rPr>
                <w:sz w:val="24"/>
                <w:szCs w:val="24"/>
                <w:lang w:eastAsia="en-US"/>
              </w:rPr>
            </w:pPr>
            <w:r w:rsidRPr="00D05D60">
              <w:rPr>
                <w:sz w:val="24"/>
                <w:szCs w:val="24"/>
                <w:lang w:eastAsia="en-US"/>
              </w:rPr>
              <w:t xml:space="preserve">Make staff and students who collect, store and use </w:t>
            </w:r>
            <w:r w:rsidR="005115D3" w:rsidRPr="00D05D60">
              <w:rPr>
                <w:sz w:val="24"/>
                <w:szCs w:val="24"/>
                <w:lang w:eastAsia="en-US"/>
              </w:rPr>
              <w:t xml:space="preserve">human samples, and </w:t>
            </w:r>
            <w:r w:rsidRPr="00D05D60">
              <w:rPr>
                <w:sz w:val="24"/>
                <w:szCs w:val="24"/>
                <w:lang w:eastAsia="en-US"/>
              </w:rPr>
              <w:t xml:space="preserve">relevant material </w:t>
            </w:r>
            <w:r w:rsidR="005115D3" w:rsidRPr="00D05D60">
              <w:rPr>
                <w:sz w:val="24"/>
                <w:szCs w:val="24"/>
                <w:lang w:eastAsia="en-US"/>
              </w:rPr>
              <w:t xml:space="preserve">as defined </w:t>
            </w:r>
            <w:r w:rsidRPr="00D05D60">
              <w:rPr>
                <w:sz w:val="24"/>
                <w:szCs w:val="24"/>
                <w:lang w:eastAsia="en-US"/>
              </w:rPr>
              <w:t>under the University of Leicester HTA Research Licence</w:t>
            </w:r>
            <w:r w:rsidR="005115D3" w:rsidRPr="00D05D60">
              <w:rPr>
                <w:sz w:val="24"/>
                <w:szCs w:val="24"/>
                <w:lang w:eastAsia="en-US"/>
              </w:rPr>
              <w:t>,</w:t>
            </w:r>
            <w:r w:rsidRPr="00D05D60">
              <w:rPr>
                <w:sz w:val="24"/>
                <w:szCs w:val="24"/>
                <w:lang w:eastAsia="en-US"/>
              </w:rPr>
              <w:t xml:space="preserve"> aware of the HT Act, the HTA Codes of Practice, relevant University of Leicester SOPs </w:t>
            </w:r>
            <w:r w:rsidR="00A03999" w:rsidRPr="00D05D60">
              <w:rPr>
                <w:sz w:val="24"/>
                <w:szCs w:val="24"/>
                <w:lang w:eastAsia="en-US"/>
              </w:rPr>
              <w:t>as well as</w:t>
            </w:r>
            <w:r w:rsidRPr="00D05D60">
              <w:rPr>
                <w:sz w:val="24"/>
                <w:szCs w:val="24"/>
                <w:lang w:eastAsia="en-US"/>
              </w:rPr>
              <w:t xml:space="preserve"> local SOPs </w:t>
            </w:r>
            <w:r w:rsidR="00A03999" w:rsidRPr="00D05D60">
              <w:rPr>
                <w:sz w:val="24"/>
                <w:szCs w:val="24"/>
                <w:lang w:eastAsia="en-US"/>
              </w:rPr>
              <w:t>and</w:t>
            </w:r>
            <w:r w:rsidRPr="00D05D60">
              <w:rPr>
                <w:sz w:val="24"/>
                <w:szCs w:val="24"/>
                <w:lang w:eastAsia="en-US"/>
              </w:rPr>
              <w:t xml:space="preserve"> Work Instructions.</w:t>
            </w:r>
          </w:p>
          <w:p w14:paraId="4D2F2467" w14:textId="63066D04" w:rsidR="005115D3" w:rsidRPr="00D05D60" w:rsidRDefault="007514A1" w:rsidP="00FC0705">
            <w:pPr>
              <w:pStyle w:val="NoSpacing"/>
              <w:numPr>
                <w:ilvl w:val="0"/>
                <w:numId w:val="16"/>
              </w:numPr>
              <w:spacing w:after="120"/>
              <w:jc w:val="both"/>
              <w:rPr>
                <w:sz w:val="24"/>
                <w:szCs w:val="24"/>
                <w:lang w:eastAsia="en-US"/>
              </w:rPr>
            </w:pPr>
            <w:r w:rsidRPr="00D05D60">
              <w:rPr>
                <w:sz w:val="24"/>
                <w:szCs w:val="24"/>
                <w:lang w:eastAsia="en-US"/>
              </w:rPr>
              <w:t>Wo</w:t>
            </w:r>
            <w:r w:rsidR="003F5672" w:rsidRPr="00D05D60">
              <w:rPr>
                <w:sz w:val="24"/>
                <w:szCs w:val="24"/>
                <w:lang w:eastAsia="en-US"/>
              </w:rPr>
              <w:t>rk in collaboration with the REGI</w:t>
            </w:r>
            <w:r w:rsidRPr="00D05D60">
              <w:rPr>
                <w:sz w:val="24"/>
                <w:szCs w:val="24"/>
                <w:lang w:eastAsia="en-US"/>
              </w:rPr>
              <w:t xml:space="preserve"> a</w:t>
            </w:r>
            <w:r w:rsidR="003F5672" w:rsidRPr="00D05D60">
              <w:rPr>
                <w:sz w:val="24"/>
                <w:szCs w:val="24"/>
                <w:lang w:eastAsia="en-US"/>
              </w:rPr>
              <w:t>nd the wider REGI</w:t>
            </w:r>
            <w:r w:rsidRPr="00D05D60">
              <w:rPr>
                <w:sz w:val="24"/>
                <w:szCs w:val="24"/>
                <w:lang w:eastAsia="en-US"/>
              </w:rPr>
              <w:t xml:space="preserve"> team to monitor compliance, identify breaches and implement corrective actions.</w:t>
            </w:r>
          </w:p>
          <w:p w14:paraId="07629FA8" w14:textId="2B05E4CE" w:rsidR="005115D3" w:rsidRPr="00D05D60" w:rsidRDefault="00E479F4" w:rsidP="001845AD">
            <w:pPr>
              <w:pStyle w:val="NoSpacing"/>
              <w:numPr>
                <w:ilvl w:val="0"/>
                <w:numId w:val="16"/>
              </w:numPr>
              <w:spacing w:after="120"/>
              <w:jc w:val="both"/>
              <w:rPr>
                <w:sz w:val="24"/>
                <w:szCs w:val="24"/>
                <w:lang w:eastAsia="en-US"/>
              </w:rPr>
            </w:pPr>
            <w:r w:rsidRPr="00D05D60">
              <w:rPr>
                <w:sz w:val="24"/>
                <w:szCs w:val="24"/>
                <w:lang w:eastAsia="en-US"/>
              </w:rPr>
              <w:t>PD’s</w:t>
            </w:r>
            <w:r w:rsidR="00244C2F" w:rsidRPr="00D05D60">
              <w:rPr>
                <w:sz w:val="24"/>
                <w:szCs w:val="24"/>
                <w:lang w:eastAsia="en-US"/>
              </w:rPr>
              <w:t xml:space="preserve"> do not have a legal duty comparable with those set out for the DI under Section 18 of the HT Act (i.e. to ensure that suitable practices are used and that there is compliance with licen</w:t>
            </w:r>
            <w:r w:rsidRPr="00D05D60">
              <w:rPr>
                <w:sz w:val="24"/>
                <w:szCs w:val="24"/>
                <w:lang w:eastAsia="en-US"/>
              </w:rPr>
              <w:t>ce conditions). PD’s</w:t>
            </w:r>
            <w:r w:rsidR="00244C2F" w:rsidRPr="00D05D60">
              <w:rPr>
                <w:sz w:val="24"/>
                <w:szCs w:val="24"/>
                <w:lang w:eastAsia="en-US"/>
              </w:rPr>
              <w:t xml:space="preserve"> carries with it the ability to “direct” others in relation to the HT Act.</w:t>
            </w:r>
          </w:p>
          <w:p w14:paraId="09340735" w14:textId="0BD06724" w:rsidR="005115D3" w:rsidRPr="00D05D60" w:rsidRDefault="00244C2F" w:rsidP="001845AD">
            <w:pPr>
              <w:pStyle w:val="NoSpacing"/>
              <w:numPr>
                <w:ilvl w:val="0"/>
                <w:numId w:val="16"/>
              </w:numPr>
              <w:spacing w:after="120"/>
              <w:jc w:val="both"/>
              <w:rPr>
                <w:sz w:val="24"/>
                <w:szCs w:val="24"/>
                <w:lang w:eastAsia="en-US"/>
              </w:rPr>
            </w:pPr>
            <w:r w:rsidRPr="00D05D60">
              <w:rPr>
                <w:sz w:val="24"/>
                <w:szCs w:val="24"/>
                <w:lang w:eastAsia="en-US"/>
              </w:rPr>
              <w:t xml:space="preserve">To maintain a register of </w:t>
            </w:r>
            <w:r w:rsidR="003F5672" w:rsidRPr="00D05D60">
              <w:rPr>
                <w:sz w:val="24"/>
                <w:szCs w:val="24"/>
                <w:lang w:eastAsia="en-US"/>
              </w:rPr>
              <w:t xml:space="preserve">studies </w:t>
            </w:r>
            <w:r w:rsidR="00D05D60" w:rsidRPr="00D05D60">
              <w:rPr>
                <w:sz w:val="24"/>
                <w:szCs w:val="24"/>
                <w:lang w:eastAsia="en-US"/>
              </w:rPr>
              <w:t xml:space="preserve">using human samples that are currently </w:t>
            </w:r>
            <w:r w:rsidR="003F5672" w:rsidRPr="00D05D60">
              <w:rPr>
                <w:sz w:val="24"/>
                <w:szCs w:val="24"/>
                <w:lang w:eastAsia="en-US"/>
              </w:rPr>
              <w:t>under ethical approval</w:t>
            </w:r>
            <w:r w:rsidR="00D05D60" w:rsidRPr="00D05D60">
              <w:rPr>
                <w:sz w:val="24"/>
                <w:szCs w:val="24"/>
                <w:lang w:eastAsia="en-US"/>
              </w:rPr>
              <w:t>,</w:t>
            </w:r>
            <w:r w:rsidR="003F5672" w:rsidRPr="00D05D60">
              <w:rPr>
                <w:sz w:val="24"/>
                <w:szCs w:val="24"/>
                <w:lang w:eastAsia="en-US"/>
              </w:rPr>
              <w:t xml:space="preserve"> and </w:t>
            </w:r>
            <w:r w:rsidR="005115D3" w:rsidRPr="00D05D60">
              <w:rPr>
                <w:sz w:val="24"/>
                <w:szCs w:val="24"/>
                <w:lang w:eastAsia="en-US"/>
              </w:rPr>
              <w:t xml:space="preserve">of </w:t>
            </w:r>
            <w:r w:rsidR="00D05D60" w:rsidRPr="00D05D60">
              <w:rPr>
                <w:sz w:val="24"/>
                <w:szCs w:val="24"/>
                <w:lang w:eastAsia="en-US"/>
              </w:rPr>
              <w:t xml:space="preserve">relevant </w:t>
            </w:r>
            <w:r w:rsidR="003F5672" w:rsidRPr="00D05D60">
              <w:rPr>
                <w:sz w:val="24"/>
                <w:szCs w:val="24"/>
                <w:lang w:eastAsia="en-US"/>
              </w:rPr>
              <w:t>material which is stored under the University of Leicester’s HTA Research, licence.</w:t>
            </w:r>
          </w:p>
          <w:p w14:paraId="703EE812" w14:textId="71F9496A" w:rsidR="00D05D60" w:rsidRPr="00D05D60" w:rsidRDefault="003F5672" w:rsidP="001845AD">
            <w:pPr>
              <w:pStyle w:val="ListParagraph"/>
              <w:numPr>
                <w:ilvl w:val="0"/>
                <w:numId w:val="16"/>
              </w:numPr>
              <w:spacing w:after="120" w:line="240" w:lineRule="auto"/>
              <w:ind w:left="714" w:hanging="357"/>
              <w:contextualSpacing w:val="0"/>
              <w:jc w:val="both"/>
              <w:rPr>
                <w:sz w:val="24"/>
                <w:szCs w:val="24"/>
                <w:lang w:eastAsia="en-US"/>
              </w:rPr>
            </w:pPr>
            <w:r w:rsidRPr="00D05D60">
              <w:rPr>
                <w:sz w:val="24"/>
                <w:szCs w:val="24"/>
                <w:lang w:eastAsia="en-US"/>
              </w:rPr>
              <w:t xml:space="preserve">To maintain an </w:t>
            </w:r>
            <w:r w:rsidR="00EE2B80" w:rsidRPr="00D05D60">
              <w:rPr>
                <w:sz w:val="24"/>
                <w:szCs w:val="24"/>
                <w:lang w:eastAsia="en-US"/>
              </w:rPr>
              <w:t>up</w:t>
            </w:r>
            <w:r w:rsidR="005115D3" w:rsidRPr="00D05D60">
              <w:rPr>
                <w:sz w:val="24"/>
                <w:szCs w:val="24"/>
                <w:lang w:eastAsia="en-US"/>
              </w:rPr>
              <w:t>-</w:t>
            </w:r>
            <w:r w:rsidR="00EE2B80" w:rsidRPr="00D05D60">
              <w:rPr>
                <w:sz w:val="24"/>
                <w:szCs w:val="24"/>
                <w:lang w:eastAsia="en-US"/>
              </w:rPr>
              <w:t>to</w:t>
            </w:r>
            <w:r w:rsidR="005115D3" w:rsidRPr="00D05D60">
              <w:rPr>
                <w:sz w:val="24"/>
                <w:szCs w:val="24"/>
                <w:lang w:eastAsia="en-US"/>
              </w:rPr>
              <w:t>-</w:t>
            </w:r>
            <w:r w:rsidRPr="00D05D60">
              <w:rPr>
                <w:sz w:val="24"/>
                <w:szCs w:val="24"/>
                <w:lang w:eastAsia="en-US"/>
              </w:rPr>
              <w:t xml:space="preserve">date register of </w:t>
            </w:r>
            <w:r w:rsidR="00EE2B80" w:rsidRPr="00D05D60">
              <w:rPr>
                <w:sz w:val="24"/>
                <w:szCs w:val="24"/>
                <w:lang w:eastAsia="en-US"/>
              </w:rPr>
              <w:t xml:space="preserve">staff and students </w:t>
            </w:r>
            <w:r w:rsidR="00D05D60" w:rsidRPr="00D05D60">
              <w:rPr>
                <w:sz w:val="24"/>
                <w:szCs w:val="24"/>
                <w:lang w:eastAsia="en-US"/>
              </w:rPr>
              <w:t xml:space="preserve">using ethically approved human material or HTA-relevant material </w:t>
            </w:r>
            <w:r w:rsidR="00EE2B80" w:rsidRPr="00D05D60">
              <w:rPr>
                <w:sz w:val="24"/>
                <w:szCs w:val="24"/>
                <w:lang w:eastAsia="en-US"/>
              </w:rPr>
              <w:t xml:space="preserve">within their areas </w:t>
            </w:r>
            <w:r w:rsidR="00D05D60">
              <w:rPr>
                <w:sz w:val="24"/>
                <w:szCs w:val="24"/>
                <w:lang w:eastAsia="en-US"/>
              </w:rPr>
              <w:t>with in-date</w:t>
            </w:r>
            <w:r w:rsidR="00EE2B80" w:rsidRPr="00D05D60">
              <w:rPr>
                <w:sz w:val="24"/>
                <w:szCs w:val="24"/>
                <w:lang w:eastAsia="en-US"/>
              </w:rPr>
              <w:t xml:space="preserve"> training records and certificates.</w:t>
            </w:r>
          </w:p>
          <w:p w14:paraId="0E49A78D" w14:textId="096B51A4" w:rsidR="00E479F4" w:rsidRPr="00AC630D" w:rsidRDefault="00E479F4" w:rsidP="001845AD">
            <w:pPr>
              <w:pStyle w:val="ListParagraph"/>
              <w:numPr>
                <w:ilvl w:val="0"/>
                <w:numId w:val="16"/>
              </w:numPr>
              <w:spacing w:after="120" w:line="240" w:lineRule="auto"/>
              <w:ind w:left="714" w:hanging="357"/>
              <w:contextualSpacing w:val="0"/>
              <w:jc w:val="both"/>
              <w:rPr>
                <w:sz w:val="24"/>
                <w:szCs w:val="24"/>
                <w:lang w:eastAsia="en-US"/>
              </w:rPr>
            </w:pPr>
            <w:r>
              <w:rPr>
                <w:sz w:val="24"/>
                <w:szCs w:val="24"/>
                <w:lang w:eastAsia="en-US"/>
              </w:rPr>
              <w:t>To ensure th</w:t>
            </w:r>
            <w:r w:rsidR="00D05D60">
              <w:rPr>
                <w:sz w:val="24"/>
                <w:szCs w:val="24"/>
                <w:lang w:eastAsia="en-US"/>
              </w:rPr>
              <w:t>at a record of th</w:t>
            </w:r>
            <w:r>
              <w:rPr>
                <w:sz w:val="24"/>
                <w:szCs w:val="24"/>
                <w:lang w:eastAsia="en-US"/>
              </w:rPr>
              <w:t xml:space="preserve">e freezers </w:t>
            </w:r>
            <w:r w:rsidR="00D05D60">
              <w:rPr>
                <w:sz w:val="24"/>
                <w:szCs w:val="24"/>
                <w:lang w:eastAsia="en-US"/>
              </w:rPr>
              <w:t xml:space="preserve">and other areas storing </w:t>
            </w:r>
            <w:r w:rsidR="00D05D60" w:rsidRPr="00D05D60">
              <w:rPr>
                <w:sz w:val="24"/>
                <w:szCs w:val="24"/>
                <w:lang w:eastAsia="en-US"/>
              </w:rPr>
              <w:t>ethically approved human material or HTA-relevant material</w:t>
            </w:r>
            <w:r w:rsidR="00D05D60">
              <w:rPr>
                <w:sz w:val="24"/>
                <w:szCs w:val="24"/>
                <w:lang w:eastAsia="en-US"/>
              </w:rPr>
              <w:t xml:space="preserve"> </w:t>
            </w:r>
            <w:r>
              <w:rPr>
                <w:sz w:val="24"/>
                <w:szCs w:val="24"/>
                <w:lang w:eastAsia="en-US"/>
              </w:rPr>
              <w:t>is accurate and up</w:t>
            </w:r>
            <w:r w:rsidR="00D05D60">
              <w:rPr>
                <w:sz w:val="24"/>
                <w:szCs w:val="24"/>
                <w:lang w:eastAsia="en-US"/>
              </w:rPr>
              <w:t>-</w:t>
            </w:r>
            <w:r>
              <w:rPr>
                <w:sz w:val="24"/>
                <w:szCs w:val="24"/>
                <w:lang w:eastAsia="en-US"/>
              </w:rPr>
              <w:t>to</w:t>
            </w:r>
            <w:r w:rsidR="00D05D60">
              <w:rPr>
                <w:sz w:val="24"/>
                <w:szCs w:val="24"/>
                <w:lang w:eastAsia="en-US"/>
              </w:rPr>
              <w:t>-</w:t>
            </w:r>
            <w:r>
              <w:rPr>
                <w:sz w:val="24"/>
                <w:szCs w:val="24"/>
                <w:lang w:eastAsia="en-US"/>
              </w:rPr>
              <w:t xml:space="preserve">date, ensuring any changes in use of freezers </w:t>
            </w:r>
            <w:r w:rsidR="00D05D60">
              <w:rPr>
                <w:sz w:val="24"/>
                <w:szCs w:val="24"/>
                <w:lang w:eastAsia="en-US"/>
              </w:rPr>
              <w:t xml:space="preserve">or storage areas </w:t>
            </w:r>
            <w:r>
              <w:rPr>
                <w:sz w:val="24"/>
                <w:szCs w:val="24"/>
                <w:lang w:eastAsia="en-US"/>
              </w:rPr>
              <w:t xml:space="preserve">are documented, and ensuring </w:t>
            </w:r>
            <w:r w:rsidR="00D05D60">
              <w:rPr>
                <w:sz w:val="24"/>
                <w:szCs w:val="24"/>
                <w:lang w:eastAsia="en-US"/>
              </w:rPr>
              <w:t xml:space="preserve">that </w:t>
            </w:r>
            <w:r>
              <w:rPr>
                <w:sz w:val="24"/>
                <w:szCs w:val="24"/>
                <w:lang w:eastAsia="en-US"/>
              </w:rPr>
              <w:t xml:space="preserve">staff in their areas </w:t>
            </w:r>
            <w:r w:rsidR="00D05D60">
              <w:rPr>
                <w:sz w:val="24"/>
                <w:szCs w:val="24"/>
                <w:lang w:eastAsia="en-US"/>
              </w:rPr>
              <w:t xml:space="preserve">keep </w:t>
            </w:r>
            <w:r>
              <w:rPr>
                <w:sz w:val="24"/>
                <w:szCs w:val="24"/>
                <w:lang w:eastAsia="en-US"/>
              </w:rPr>
              <w:t>the appropriate freezer maps and labels accurate and up</w:t>
            </w:r>
            <w:r w:rsidR="00D05D60">
              <w:rPr>
                <w:sz w:val="24"/>
                <w:szCs w:val="24"/>
                <w:lang w:eastAsia="en-US"/>
              </w:rPr>
              <w:t>-</w:t>
            </w:r>
            <w:r>
              <w:rPr>
                <w:sz w:val="24"/>
                <w:szCs w:val="24"/>
                <w:lang w:eastAsia="en-US"/>
              </w:rPr>
              <w:t>to</w:t>
            </w:r>
            <w:r w:rsidR="00D05D60">
              <w:rPr>
                <w:sz w:val="24"/>
                <w:szCs w:val="24"/>
                <w:lang w:eastAsia="en-US"/>
              </w:rPr>
              <w:t>-</w:t>
            </w:r>
            <w:r>
              <w:rPr>
                <w:sz w:val="24"/>
                <w:szCs w:val="24"/>
                <w:lang w:eastAsia="en-US"/>
              </w:rPr>
              <w:t>date.</w:t>
            </w:r>
          </w:p>
          <w:p w14:paraId="24E1B207" w14:textId="3734820C" w:rsidR="00B44A3F" w:rsidRPr="003F5672" w:rsidRDefault="001845AD" w:rsidP="001845AD">
            <w:pPr>
              <w:pStyle w:val="ListParagraph"/>
              <w:numPr>
                <w:ilvl w:val="0"/>
                <w:numId w:val="16"/>
              </w:numPr>
              <w:spacing w:after="120" w:line="240" w:lineRule="auto"/>
              <w:ind w:left="714" w:hanging="357"/>
              <w:contextualSpacing w:val="0"/>
              <w:jc w:val="both"/>
              <w:rPr>
                <w:sz w:val="24"/>
                <w:szCs w:val="24"/>
                <w:lang w:eastAsia="en-US"/>
              </w:rPr>
            </w:pPr>
            <w:r>
              <w:rPr>
                <w:sz w:val="24"/>
                <w:szCs w:val="24"/>
                <w:lang w:eastAsia="en-US"/>
              </w:rPr>
              <w:t>Ensure that a</w:t>
            </w:r>
            <w:r w:rsidR="005F6825" w:rsidRPr="003F5672">
              <w:rPr>
                <w:sz w:val="24"/>
                <w:szCs w:val="24"/>
                <w:lang w:eastAsia="en-US"/>
              </w:rPr>
              <w:t>ll local</w:t>
            </w:r>
            <w:r w:rsidR="00163919" w:rsidRPr="003F5672">
              <w:rPr>
                <w:sz w:val="24"/>
                <w:szCs w:val="24"/>
                <w:lang w:eastAsia="en-US"/>
              </w:rPr>
              <w:t xml:space="preserve"> HTA</w:t>
            </w:r>
            <w:r w:rsidR="005F6825" w:rsidRPr="003F5672">
              <w:rPr>
                <w:sz w:val="24"/>
                <w:szCs w:val="24"/>
                <w:lang w:eastAsia="en-US"/>
              </w:rPr>
              <w:t xml:space="preserve"> research processes follow the University of Leicester HTA SOPs issu</w:t>
            </w:r>
            <w:r w:rsidR="00EE2B80">
              <w:rPr>
                <w:sz w:val="24"/>
                <w:szCs w:val="24"/>
                <w:lang w:eastAsia="en-US"/>
              </w:rPr>
              <w:t>ed by the HTA Monitor</w:t>
            </w:r>
            <w:r w:rsidR="005F6825" w:rsidRPr="003F5672">
              <w:rPr>
                <w:sz w:val="24"/>
                <w:szCs w:val="24"/>
                <w:lang w:eastAsia="en-US"/>
              </w:rPr>
              <w:t xml:space="preserve"> for the collection, use, storage and </w:t>
            </w:r>
            <w:r w:rsidR="005F6825" w:rsidRPr="003F5672">
              <w:rPr>
                <w:sz w:val="24"/>
                <w:szCs w:val="24"/>
                <w:lang w:eastAsia="en-US"/>
              </w:rPr>
              <w:lastRenderedPageBreak/>
              <w:t>disposal of tissue samples</w:t>
            </w:r>
            <w:r w:rsidR="00645E67" w:rsidRPr="003F5672">
              <w:rPr>
                <w:sz w:val="24"/>
                <w:szCs w:val="24"/>
                <w:lang w:eastAsia="en-US"/>
              </w:rPr>
              <w:t xml:space="preserve">, unless superseded by local SOPs, UHL SOP or SOPs provided by </w:t>
            </w:r>
            <w:r w:rsidR="004A2E9B" w:rsidRPr="003F5672">
              <w:rPr>
                <w:sz w:val="24"/>
                <w:szCs w:val="24"/>
                <w:lang w:eastAsia="en-US"/>
              </w:rPr>
              <w:t>a</w:t>
            </w:r>
            <w:r w:rsidR="00645E67" w:rsidRPr="003F5672">
              <w:rPr>
                <w:sz w:val="24"/>
                <w:szCs w:val="24"/>
                <w:lang w:eastAsia="en-US"/>
              </w:rPr>
              <w:t xml:space="preserve"> third party</w:t>
            </w:r>
            <w:r w:rsidR="005F6825" w:rsidRPr="003F5672">
              <w:rPr>
                <w:sz w:val="24"/>
                <w:szCs w:val="24"/>
                <w:lang w:eastAsia="en-US"/>
              </w:rPr>
              <w:t>.</w:t>
            </w:r>
          </w:p>
          <w:p w14:paraId="017769DF" w14:textId="71DAFB7B" w:rsidR="00B44A3F" w:rsidRPr="003F5672" w:rsidRDefault="00244C2F" w:rsidP="001845AD">
            <w:pPr>
              <w:pStyle w:val="ListParagraph"/>
              <w:numPr>
                <w:ilvl w:val="0"/>
                <w:numId w:val="16"/>
              </w:numPr>
              <w:spacing w:after="120" w:line="240" w:lineRule="auto"/>
              <w:ind w:left="714" w:hanging="357"/>
              <w:contextualSpacing w:val="0"/>
              <w:jc w:val="both"/>
              <w:rPr>
                <w:sz w:val="24"/>
                <w:szCs w:val="24"/>
                <w:lang w:eastAsia="en-US"/>
              </w:rPr>
            </w:pPr>
            <w:r w:rsidRPr="003F5672">
              <w:rPr>
                <w:sz w:val="24"/>
                <w:szCs w:val="24"/>
                <w:lang w:eastAsia="en-US"/>
              </w:rPr>
              <w:t>Develop and maintain an excelle</w:t>
            </w:r>
            <w:r w:rsidR="009F7A45">
              <w:rPr>
                <w:sz w:val="24"/>
                <w:szCs w:val="24"/>
                <w:lang w:eastAsia="en-US"/>
              </w:rPr>
              <w:t>nt knowledge of the HT</w:t>
            </w:r>
            <w:r w:rsidR="009C63D3" w:rsidRPr="003F5672">
              <w:rPr>
                <w:sz w:val="24"/>
                <w:szCs w:val="24"/>
                <w:lang w:eastAsia="en-US"/>
              </w:rPr>
              <w:t xml:space="preserve"> </w:t>
            </w:r>
            <w:r w:rsidRPr="003F5672">
              <w:rPr>
                <w:sz w:val="24"/>
                <w:szCs w:val="24"/>
                <w:lang w:eastAsia="en-US"/>
              </w:rPr>
              <w:t>Act and the</w:t>
            </w:r>
            <w:r w:rsidR="003C4443" w:rsidRPr="003F5672">
              <w:rPr>
                <w:sz w:val="24"/>
                <w:szCs w:val="24"/>
                <w:lang w:eastAsia="en-US"/>
              </w:rPr>
              <w:t xml:space="preserve"> relevant</w:t>
            </w:r>
            <w:r w:rsidR="009F7A45">
              <w:rPr>
                <w:sz w:val="24"/>
                <w:szCs w:val="24"/>
                <w:lang w:eastAsia="en-US"/>
              </w:rPr>
              <w:t xml:space="preserve"> consent and research</w:t>
            </w:r>
            <w:r w:rsidR="003C4443" w:rsidRPr="003F5672">
              <w:rPr>
                <w:sz w:val="24"/>
                <w:szCs w:val="24"/>
                <w:lang w:eastAsia="en-US"/>
              </w:rPr>
              <w:t xml:space="preserve"> </w:t>
            </w:r>
            <w:r w:rsidRPr="003F5672">
              <w:rPr>
                <w:sz w:val="24"/>
                <w:szCs w:val="24"/>
                <w:lang w:eastAsia="en-US"/>
              </w:rPr>
              <w:t>Codes of Practic</w:t>
            </w:r>
            <w:r w:rsidR="009F7A45">
              <w:rPr>
                <w:sz w:val="24"/>
                <w:szCs w:val="24"/>
                <w:lang w:eastAsia="en-US"/>
              </w:rPr>
              <w:t>e of the HTA.</w:t>
            </w:r>
          </w:p>
          <w:p w14:paraId="5D2553BF" w14:textId="77777777" w:rsidR="00736C76" w:rsidRPr="003F5672" w:rsidRDefault="00B44A3F" w:rsidP="001845AD">
            <w:pPr>
              <w:pStyle w:val="ListParagraph"/>
              <w:numPr>
                <w:ilvl w:val="0"/>
                <w:numId w:val="16"/>
              </w:numPr>
              <w:spacing w:after="120" w:line="240" w:lineRule="auto"/>
              <w:ind w:left="714" w:hanging="357"/>
              <w:contextualSpacing w:val="0"/>
              <w:jc w:val="both"/>
              <w:rPr>
                <w:sz w:val="24"/>
                <w:szCs w:val="24"/>
                <w:lang w:eastAsia="en-US"/>
              </w:rPr>
            </w:pPr>
            <w:r w:rsidRPr="003F5672">
              <w:rPr>
                <w:sz w:val="24"/>
                <w:szCs w:val="24"/>
                <w:lang w:eastAsia="en-US"/>
              </w:rPr>
              <w:t>M</w:t>
            </w:r>
            <w:r w:rsidR="00244C2F" w:rsidRPr="003F5672">
              <w:rPr>
                <w:sz w:val="24"/>
                <w:szCs w:val="24"/>
                <w:lang w:eastAsia="en-US"/>
              </w:rPr>
              <w:t>aintain professional development activities in this area and attend any mandatory training as required.</w:t>
            </w:r>
          </w:p>
          <w:p w14:paraId="7C0AA804" w14:textId="7EF50B66" w:rsidR="00736C76" w:rsidRPr="003F5672" w:rsidRDefault="00244C2F" w:rsidP="001845AD">
            <w:pPr>
              <w:pStyle w:val="ListParagraph"/>
              <w:numPr>
                <w:ilvl w:val="0"/>
                <w:numId w:val="16"/>
              </w:numPr>
              <w:spacing w:after="120" w:line="240" w:lineRule="auto"/>
              <w:ind w:left="714" w:hanging="357"/>
              <w:contextualSpacing w:val="0"/>
              <w:jc w:val="both"/>
              <w:rPr>
                <w:sz w:val="24"/>
                <w:szCs w:val="24"/>
                <w:lang w:eastAsia="en-US"/>
              </w:rPr>
            </w:pPr>
            <w:r w:rsidRPr="003F5672">
              <w:rPr>
                <w:sz w:val="24"/>
                <w:szCs w:val="24"/>
                <w:lang w:eastAsia="en-US"/>
              </w:rPr>
              <w:t xml:space="preserve">Work according to the </w:t>
            </w:r>
            <w:r w:rsidR="00736C76" w:rsidRPr="003F5672">
              <w:rPr>
                <w:sz w:val="24"/>
                <w:szCs w:val="24"/>
                <w:lang w:eastAsia="en-US"/>
              </w:rPr>
              <w:t>University HTA P</w:t>
            </w:r>
            <w:r w:rsidRPr="003F5672">
              <w:rPr>
                <w:sz w:val="24"/>
                <w:szCs w:val="24"/>
                <w:lang w:eastAsia="en-US"/>
              </w:rPr>
              <w:t xml:space="preserve">olicy and Procedures specified by the </w:t>
            </w:r>
            <w:r w:rsidR="003A62EE" w:rsidRPr="003F5672">
              <w:rPr>
                <w:sz w:val="24"/>
                <w:szCs w:val="24"/>
                <w:lang w:eastAsia="en-US"/>
              </w:rPr>
              <w:t xml:space="preserve">HTA </w:t>
            </w:r>
            <w:r w:rsidR="00EE2B80">
              <w:rPr>
                <w:sz w:val="24"/>
                <w:szCs w:val="24"/>
                <w:lang w:eastAsia="en-US"/>
              </w:rPr>
              <w:t xml:space="preserve">Monitor </w:t>
            </w:r>
            <w:r w:rsidRPr="003F5672">
              <w:rPr>
                <w:sz w:val="24"/>
                <w:szCs w:val="24"/>
                <w:lang w:eastAsia="en-US"/>
              </w:rPr>
              <w:t>under the direct</w:t>
            </w:r>
            <w:r w:rsidR="009F7A45">
              <w:rPr>
                <w:sz w:val="24"/>
                <w:szCs w:val="24"/>
                <w:lang w:eastAsia="en-US"/>
              </w:rPr>
              <w:t>ion of the DI</w:t>
            </w:r>
            <w:r w:rsidRPr="003F5672">
              <w:rPr>
                <w:sz w:val="24"/>
                <w:szCs w:val="24"/>
                <w:lang w:eastAsia="en-US"/>
              </w:rPr>
              <w:t>.</w:t>
            </w:r>
          </w:p>
          <w:p w14:paraId="3FDCA0C2" w14:textId="7D87B30F" w:rsidR="00736C76" w:rsidRPr="003F5672" w:rsidRDefault="003C4443" w:rsidP="001845AD">
            <w:pPr>
              <w:pStyle w:val="ListParagraph"/>
              <w:numPr>
                <w:ilvl w:val="0"/>
                <w:numId w:val="16"/>
              </w:numPr>
              <w:spacing w:after="120" w:line="240" w:lineRule="auto"/>
              <w:ind w:left="714" w:hanging="357"/>
              <w:contextualSpacing w:val="0"/>
              <w:jc w:val="both"/>
              <w:rPr>
                <w:sz w:val="24"/>
                <w:szCs w:val="24"/>
                <w:lang w:eastAsia="en-US"/>
              </w:rPr>
            </w:pPr>
            <w:r w:rsidRPr="003F5672">
              <w:rPr>
                <w:sz w:val="24"/>
                <w:szCs w:val="24"/>
                <w:lang w:eastAsia="en-US"/>
              </w:rPr>
              <w:t>Provide guidance on m</w:t>
            </w:r>
            <w:r w:rsidR="00244C2F" w:rsidRPr="003F5672">
              <w:rPr>
                <w:sz w:val="24"/>
                <w:szCs w:val="24"/>
                <w:lang w:eastAsia="en-US"/>
              </w:rPr>
              <w:t>aintain</w:t>
            </w:r>
            <w:r w:rsidRPr="003F5672">
              <w:rPr>
                <w:sz w:val="24"/>
                <w:szCs w:val="24"/>
                <w:lang w:eastAsia="en-US"/>
              </w:rPr>
              <w:t>ing</w:t>
            </w:r>
            <w:r w:rsidR="00244C2F" w:rsidRPr="003F5672">
              <w:rPr>
                <w:sz w:val="24"/>
                <w:szCs w:val="24"/>
                <w:lang w:eastAsia="en-US"/>
              </w:rPr>
              <w:t xml:space="preserve"> local documentation, records sets, error logs and</w:t>
            </w:r>
            <w:r w:rsidR="00C52132" w:rsidRPr="003F5672">
              <w:rPr>
                <w:sz w:val="24"/>
                <w:szCs w:val="24"/>
                <w:lang w:eastAsia="en-US"/>
              </w:rPr>
              <w:t xml:space="preserve"> risk assessments as listed in</w:t>
            </w:r>
            <w:r w:rsidR="004A2E9B" w:rsidRPr="003F5672">
              <w:rPr>
                <w:sz w:val="24"/>
                <w:szCs w:val="24"/>
                <w:lang w:eastAsia="en-US"/>
              </w:rPr>
              <w:t xml:space="preserve"> the</w:t>
            </w:r>
            <w:r w:rsidR="00C52132" w:rsidRPr="003F5672">
              <w:rPr>
                <w:sz w:val="24"/>
                <w:szCs w:val="24"/>
                <w:lang w:eastAsia="en-US"/>
              </w:rPr>
              <w:t xml:space="preserve"> p</w:t>
            </w:r>
            <w:r w:rsidR="00244C2F" w:rsidRPr="003F5672">
              <w:rPr>
                <w:sz w:val="24"/>
                <w:szCs w:val="24"/>
                <w:lang w:eastAsia="en-US"/>
              </w:rPr>
              <w:t xml:space="preserve">rocedures specified by the </w:t>
            </w:r>
            <w:r w:rsidR="00746912" w:rsidRPr="003F5672">
              <w:rPr>
                <w:sz w:val="24"/>
                <w:szCs w:val="24"/>
                <w:lang w:eastAsia="en-US"/>
              </w:rPr>
              <w:t xml:space="preserve">University of Leicester </w:t>
            </w:r>
            <w:r w:rsidR="00244C2F" w:rsidRPr="003F5672">
              <w:rPr>
                <w:sz w:val="24"/>
                <w:szCs w:val="24"/>
                <w:lang w:eastAsia="en-US"/>
              </w:rPr>
              <w:t>H</w:t>
            </w:r>
            <w:r w:rsidR="00C52132" w:rsidRPr="003F5672">
              <w:rPr>
                <w:sz w:val="24"/>
                <w:szCs w:val="24"/>
                <w:lang w:eastAsia="en-US"/>
              </w:rPr>
              <w:t>TA SOPs.</w:t>
            </w:r>
          </w:p>
          <w:p w14:paraId="00D2E08F" w14:textId="3E5C3860" w:rsidR="00AC630D" w:rsidRPr="003F5672" w:rsidRDefault="009F7A45" w:rsidP="001845AD">
            <w:pPr>
              <w:pStyle w:val="ListParagraph"/>
              <w:numPr>
                <w:ilvl w:val="0"/>
                <w:numId w:val="16"/>
              </w:numPr>
              <w:spacing w:after="120" w:line="240" w:lineRule="auto"/>
              <w:ind w:left="714" w:hanging="357"/>
              <w:contextualSpacing w:val="0"/>
              <w:jc w:val="both"/>
              <w:rPr>
                <w:sz w:val="24"/>
                <w:szCs w:val="24"/>
                <w:lang w:eastAsia="en-US"/>
              </w:rPr>
            </w:pPr>
            <w:r>
              <w:rPr>
                <w:sz w:val="24"/>
                <w:szCs w:val="24"/>
                <w:lang w:eastAsia="en-US"/>
              </w:rPr>
              <w:t>To assist with inter</w:t>
            </w:r>
            <w:r w:rsidR="001845AD">
              <w:rPr>
                <w:sz w:val="24"/>
                <w:szCs w:val="24"/>
                <w:lang w:eastAsia="en-US"/>
              </w:rPr>
              <w:t>-</w:t>
            </w:r>
            <w:r>
              <w:rPr>
                <w:sz w:val="24"/>
                <w:szCs w:val="24"/>
                <w:lang w:eastAsia="en-US"/>
              </w:rPr>
              <w:t>departmental sample audits to ensure sample logs are accurate.</w:t>
            </w:r>
          </w:p>
          <w:p w14:paraId="054118A2" w14:textId="77777777" w:rsidR="00B57C41" w:rsidRPr="003F5672" w:rsidRDefault="00244C2F" w:rsidP="001845AD">
            <w:pPr>
              <w:pStyle w:val="ListParagraph"/>
              <w:numPr>
                <w:ilvl w:val="0"/>
                <w:numId w:val="16"/>
              </w:numPr>
              <w:spacing w:after="120" w:line="240" w:lineRule="auto"/>
              <w:ind w:left="714" w:hanging="357"/>
              <w:contextualSpacing w:val="0"/>
              <w:jc w:val="both"/>
              <w:rPr>
                <w:sz w:val="24"/>
                <w:szCs w:val="24"/>
                <w:lang w:eastAsia="en-US"/>
              </w:rPr>
            </w:pPr>
            <w:r w:rsidRPr="003F5672">
              <w:rPr>
                <w:sz w:val="24"/>
                <w:szCs w:val="24"/>
                <w:lang w:eastAsia="en-US"/>
              </w:rPr>
              <w:t xml:space="preserve">Where a significant risk or incident is identified, immediately notify </w:t>
            </w:r>
            <w:r w:rsidR="00457F04" w:rsidRPr="003F5672">
              <w:rPr>
                <w:sz w:val="24"/>
                <w:szCs w:val="24"/>
                <w:lang w:eastAsia="en-US"/>
              </w:rPr>
              <w:t xml:space="preserve">(within 24 hours) </w:t>
            </w:r>
            <w:r w:rsidRPr="003F5672">
              <w:rPr>
                <w:sz w:val="24"/>
                <w:szCs w:val="24"/>
                <w:lang w:eastAsia="en-US"/>
              </w:rPr>
              <w:t>the DI such that a decision can be made in relation to cessation of relevant activity or corrective actions, in consultation with relevant Clinical Directors.</w:t>
            </w:r>
          </w:p>
          <w:p w14:paraId="2D5AB207" w14:textId="36CC7443" w:rsidR="00DC1DA9" w:rsidRPr="003F5672" w:rsidRDefault="00B57C41" w:rsidP="001845AD">
            <w:pPr>
              <w:pStyle w:val="ListParagraph"/>
              <w:numPr>
                <w:ilvl w:val="0"/>
                <w:numId w:val="16"/>
              </w:numPr>
              <w:spacing w:after="120" w:line="240" w:lineRule="auto"/>
              <w:ind w:left="714" w:hanging="357"/>
              <w:contextualSpacing w:val="0"/>
              <w:jc w:val="both"/>
              <w:rPr>
                <w:sz w:val="24"/>
                <w:szCs w:val="24"/>
                <w:lang w:eastAsia="en-US"/>
              </w:rPr>
            </w:pPr>
            <w:r w:rsidRPr="003F5672">
              <w:rPr>
                <w:sz w:val="24"/>
                <w:szCs w:val="24"/>
                <w:lang w:eastAsia="en-US"/>
              </w:rPr>
              <w:t>A</w:t>
            </w:r>
            <w:r w:rsidR="00244C2F" w:rsidRPr="003F5672">
              <w:rPr>
                <w:sz w:val="24"/>
                <w:szCs w:val="24"/>
                <w:lang w:eastAsia="en-US"/>
              </w:rPr>
              <w:t xml:space="preserve">ttend regular meetings and training sessions as required by the Designated Individual and </w:t>
            </w:r>
            <w:r w:rsidR="003C4443" w:rsidRPr="003F5672">
              <w:rPr>
                <w:sz w:val="24"/>
                <w:szCs w:val="24"/>
                <w:lang w:eastAsia="en-US"/>
              </w:rPr>
              <w:t xml:space="preserve">HTA </w:t>
            </w:r>
            <w:r w:rsidR="00EE2B80">
              <w:rPr>
                <w:sz w:val="24"/>
                <w:szCs w:val="24"/>
                <w:lang w:eastAsia="en-US"/>
              </w:rPr>
              <w:t xml:space="preserve">Monitor </w:t>
            </w:r>
            <w:r w:rsidR="009B6751" w:rsidRPr="003F5672">
              <w:rPr>
                <w:sz w:val="24"/>
                <w:szCs w:val="24"/>
                <w:lang w:eastAsia="en-US"/>
              </w:rPr>
              <w:t>and the</w:t>
            </w:r>
            <w:r w:rsidR="00FF16C1" w:rsidRPr="003F5672">
              <w:rPr>
                <w:sz w:val="24"/>
                <w:szCs w:val="24"/>
              </w:rPr>
              <w:t xml:space="preserve"> </w:t>
            </w:r>
            <w:r w:rsidR="00B06479">
              <w:rPr>
                <w:sz w:val="24"/>
                <w:szCs w:val="24"/>
                <w:lang w:eastAsia="en-US"/>
              </w:rPr>
              <w:t>CLS</w:t>
            </w:r>
            <w:r w:rsidR="00EE2B80">
              <w:rPr>
                <w:sz w:val="24"/>
                <w:szCs w:val="24"/>
                <w:lang w:eastAsia="en-US"/>
              </w:rPr>
              <w:t xml:space="preserve"> HTG</w:t>
            </w:r>
            <w:r w:rsidR="00FF16C1" w:rsidRPr="003F5672">
              <w:rPr>
                <w:sz w:val="24"/>
                <w:szCs w:val="24"/>
                <w:lang w:eastAsia="en-US"/>
              </w:rPr>
              <w:t xml:space="preserve"> </w:t>
            </w:r>
            <w:r w:rsidR="003A62EE" w:rsidRPr="003F5672">
              <w:rPr>
                <w:sz w:val="24"/>
                <w:szCs w:val="24"/>
                <w:lang w:eastAsia="en-US"/>
              </w:rPr>
              <w:t>Committee.</w:t>
            </w:r>
            <w:r w:rsidR="00DC1DA9" w:rsidRPr="003F5672">
              <w:rPr>
                <w:sz w:val="24"/>
                <w:szCs w:val="24"/>
                <w:lang w:eastAsia="en-US"/>
              </w:rPr>
              <w:t xml:space="preserve"> </w:t>
            </w:r>
          </w:p>
          <w:p w14:paraId="5F44ED43" w14:textId="24128277" w:rsidR="00244C2F" w:rsidRPr="003F5672" w:rsidRDefault="00AF5655" w:rsidP="001845AD">
            <w:pPr>
              <w:pStyle w:val="ListParagraph"/>
              <w:numPr>
                <w:ilvl w:val="0"/>
                <w:numId w:val="16"/>
              </w:numPr>
              <w:spacing w:after="120" w:line="240" w:lineRule="auto"/>
              <w:ind w:left="714" w:hanging="357"/>
              <w:contextualSpacing w:val="0"/>
              <w:jc w:val="both"/>
              <w:rPr>
                <w:sz w:val="24"/>
                <w:szCs w:val="24"/>
                <w:lang w:eastAsia="en-US"/>
              </w:rPr>
            </w:pPr>
            <w:r w:rsidRPr="003F5672">
              <w:rPr>
                <w:sz w:val="24"/>
                <w:szCs w:val="24"/>
                <w:lang w:eastAsia="en-US"/>
              </w:rPr>
              <w:t>Lead projects within</w:t>
            </w:r>
            <w:r w:rsidR="00DC1DA9" w:rsidRPr="003F5672">
              <w:rPr>
                <w:sz w:val="24"/>
                <w:szCs w:val="24"/>
                <w:lang w:eastAsia="en-US"/>
              </w:rPr>
              <w:t xml:space="preserve"> their departments </w:t>
            </w:r>
            <w:r w:rsidRPr="003F5672">
              <w:rPr>
                <w:sz w:val="24"/>
                <w:szCs w:val="24"/>
                <w:lang w:eastAsia="en-US"/>
              </w:rPr>
              <w:t xml:space="preserve">to support </w:t>
            </w:r>
            <w:r w:rsidR="0065747C" w:rsidRPr="003F5672">
              <w:rPr>
                <w:sz w:val="24"/>
                <w:szCs w:val="24"/>
                <w:lang w:eastAsia="en-US"/>
              </w:rPr>
              <w:t xml:space="preserve">the </w:t>
            </w:r>
            <w:r w:rsidR="00EE2B80">
              <w:rPr>
                <w:sz w:val="24"/>
                <w:szCs w:val="24"/>
                <w:lang w:eastAsia="en-US"/>
              </w:rPr>
              <w:t>DI and REGI.</w:t>
            </w:r>
          </w:p>
        </w:tc>
      </w:tr>
      <w:tr w:rsidR="00397A7F" w:rsidRPr="00B57C41" w14:paraId="1D611A35" w14:textId="77777777" w:rsidTr="00397A7F">
        <w:tc>
          <w:tcPr>
            <w:tcW w:w="9464" w:type="dxa"/>
          </w:tcPr>
          <w:p w14:paraId="5F1C53CC" w14:textId="77777777" w:rsidR="00397A7F" w:rsidRPr="00BC50B5" w:rsidRDefault="00397A7F" w:rsidP="00163919">
            <w:pPr>
              <w:tabs>
                <w:tab w:val="left" w:pos="3402"/>
              </w:tabs>
              <w:spacing w:after="0" w:line="240" w:lineRule="auto"/>
              <w:jc w:val="both"/>
              <w:rPr>
                <w:rFonts w:eastAsia="Times New Roman"/>
                <w:sz w:val="24"/>
                <w:szCs w:val="24"/>
                <w:lang w:eastAsia="en-US"/>
              </w:rPr>
            </w:pPr>
            <w:r w:rsidRPr="00BC50B5">
              <w:rPr>
                <w:rFonts w:eastAsia="Times New Roman"/>
                <w:sz w:val="24"/>
                <w:szCs w:val="24"/>
                <w:lang w:eastAsia="en-US"/>
              </w:rPr>
              <w:lastRenderedPageBreak/>
              <w:t>Internal and External Relationships:</w:t>
            </w:r>
          </w:p>
          <w:p w14:paraId="5CC7B138" w14:textId="77777777" w:rsidR="00397A7F" w:rsidRPr="00BC50B5" w:rsidRDefault="00397A7F" w:rsidP="00163919">
            <w:pPr>
              <w:tabs>
                <w:tab w:val="left" w:pos="3402"/>
              </w:tabs>
              <w:spacing w:after="0" w:line="240" w:lineRule="auto"/>
              <w:jc w:val="both"/>
              <w:rPr>
                <w:rFonts w:eastAsia="Times New Roman"/>
                <w:sz w:val="24"/>
                <w:szCs w:val="24"/>
                <w:lang w:eastAsia="en-US"/>
              </w:rPr>
            </w:pPr>
          </w:p>
          <w:p w14:paraId="19D6C882" w14:textId="3E6AEDED"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HTA Monitor</w:t>
            </w:r>
          </w:p>
          <w:p w14:paraId="5FD6EAEE" w14:textId="0B029069"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University of Leicester CLS HTG Committee.</w:t>
            </w:r>
          </w:p>
          <w:p w14:paraId="6635797D" w14:textId="77777777" w:rsidR="006A6E0D" w:rsidRDefault="006A6E0D" w:rsidP="006A6E0D">
            <w:pPr>
              <w:pStyle w:val="NormalWeb"/>
              <w:numPr>
                <w:ilvl w:val="0"/>
                <w:numId w:val="21"/>
              </w:numPr>
              <w:rPr>
                <w:rFonts w:ascii="Arial" w:hAnsi="Arial" w:cs="Arial"/>
                <w:color w:val="000000"/>
              </w:rPr>
            </w:pPr>
            <w:r w:rsidRPr="006A6E0D">
              <w:rPr>
                <w:rFonts w:ascii="Arial" w:hAnsi="Arial" w:cs="Arial"/>
                <w:color w:val="000000"/>
              </w:rPr>
              <w:t>Research Ethics and Integrity Team at the University of Leicester</w:t>
            </w:r>
          </w:p>
          <w:p w14:paraId="3495B2AF" w14:textId="302713F5"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Clinical and academic research staff, at all levels, within the University of</w:t>
            </w:r>
          </w:p>
          <w:p w14:paraId="6DF4A3DC" w14:textId="77777777"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Leicester and UHL.</w:t>
            </w:r>
          </w:p>
          <w:p w14:paraId="5D3F2947" w14:textId="04F27459"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Research and Innovation team at UHL NHS Trust if necessary.</w:t>
            </w:r>
          </w:p>
          <w:p w14:paraId="5B1F7A75" w14:textId="3F2C3560"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Human Tissue Authority.</w:t>
            </w:r>
          </w:p>
          <w:p w14:paraId="61A9C965" w14:textId="00C311B2"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Licence Holder.</w:t>
            </w:r>
          </w:p>
          <w:p w14:paraId="49A0214D" w14:textId="4B9D577E"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External Sponsors of research studies</w:t>
            </w:r>
          </w:p>
          <w:p w14:paraId="1F2A593F" w14:textId="10B3DE4D" w:rsidR="006A6E0D" w:rsidRPr="006A6E0D" w:rsidRDefault="006A6E0D" w:rsidP="006A6E0D">
            <w:pPr>
              <w:pStyle w:val="NormalWeb"/>
              <w:numPr>
                <w:ilvl w:val="0"/>
                <w:numId w:val="21"/>
              </w:numPr>
              <w:rPr>
                <w:rFonts w:ascii="Arial" w:hAnsi="Arial" w:cs="Arial"/>
                <w:color w:val="000000"/>
              </w:rPr>
            </w:pPr>
            <w:r w:rsidRPr="006A6E0D">
              <w:rPr>
                <w:rFonts w:ascii="Arial" w:hAnsi="Arial" w:cs="Arial"/>
                <w:color w:val="000000"/>
              </w:rPr>
              <w:t>Research and Enterprise (RED) contracts team</w:t>
            </w:r>
          </w:p>
          <w:p w14:paraId="76DC1087" w14:textId="36AE8A4C" w:rsidR="009F5EE8" w:rsidRPr="00B57C41" w:rsidRDefault="006A6E0D" w:rsidP="006A6E0D">
            <w:pPr>
              <w:tabs>
                <w:tab w:val="left" w:pos="3402"/>
              </w:tabs>
              <w:spacing w:after="0" w:line="240" w:lineRule="auto"/>
              <w:ind w:left="720"/>
              <w:contextualSpacing/>
              <w:jc w:val="both"/>
              <w:rPr>
                <w:rFonts w:asciiTheme="minorHAnsi" w:eastAsia="Times New Roman" w:hAnsiTheme="minorHAnsi"/>
                <w:sz w:val="24"/>
                <w:szCs w:val="24"/>
                <w:lang w:eastAsia="en-US"/>
              </w:rPr>
            </w:pPr>
            <w:r w:rsidRPr="00B57C41">
              <w:rPr>
                <w:rFonts w:asciiTheme="minorHAnsi" w:eastAsia="Times New Roman" w:hAnsiTheme="minorHAnsi"/>
                <w:sz w:val="24"/>
                <w:szCs w:val="24"/>
                <w:lang w:eastAsia="en-US"/>
              </w:rPr>
              <w:t xml:space="preserve"> </w:t>
            </w:r>
          </w:p>
          <w:p w14:paraId="7372FD02" w14:textId="77777777" w:rsidR="00397A7F" w:rsidRPr="00B57C41" w:rsidRDefault="00397A7F" w:rsidP="00163919">
            <w:pPr>
              <w:tabs>
                <w:tab w:val="left" w:pos="3402"/>
              </w:tabs>
              <w:spacing w:after="0" w:line="240" w:lineRule="auto"/>
              <w:jc w:val="both"/>
              <w:rPr>
                <w:rFonts w:asciiTheme="minorHAnsi" w:eastAsia="Times New Roman" w:hAnsiTheme="minorHAnsi"/>
                <w:sz w:val="24"/>
                <w:szCs w:val="24"/>
                <w:lang w:eastAsia="en-US"/>
              </w:rPr>
            </w:pPr>
          </w:p>
        </w:tc>
      </w:tr>
      <w:tr w:rsidR="00397A7F" w:rsidRPr="00B57C41" w14:paraId="1731363F" w14:textId="77777777" w:rsidTr="00397A7F">
        <w:tc>
          <w:tcPr>
            <w:tcW w:w="9464" w:type="dxa"/>
          </w:tcPr>
          <w:p w14:paraId="31372D0F" w14:textId="77777777" w:rsidR="00397A7F" w:rsidRPr="00FC0705" w:rsidRDefault="00397A7F" w:rsidP="00163919">
            <w:pPr>
              <w:tabs>
                <w:tab w:val="left" w:pos="3402"/>
              </w:tabs>
              <w:spacing w:after="0" w:line="240" w:lineRule="auto"/>
              <w:jc w:val="both"/>
              <w:rPr>
                <w:rFonts w:eastAsia="Times New Roman"/>
                <w:sz w:val="28"/>
                <w:szCs w:val="24"/>
                <w:lang w:eastAsia="en-US"/>
              </w:rPr>
            </w:pPr>
            <w:r w:rsidRPr="00FC0705">
              <w:rPr>
                <w:rFonts w:eastAsia="Times New Roman"/>
                <w:sz w:val="28"/>
                <w:szCs w:val="24"/>
                <w:lang w:eastAsia="en-US"/>
              </w:rPr>
              <w:t>Planning and Organising:</w:t>
            </w:r>
          </w:p>
          <w:p w14:paraId="2CC86F11" w14:textId="77777777" w:rsidR="00397A7F" w:rsidRPr="00B57C41" w:rsidRDefault="00397A7F" w:rsidP="00163919">
            <w:pPr>
              <w:pStyle w:val="NoSpacing"/>
              <w:jc w:val="both"/>
              <w:rPr>
                <w:rFonts w:asciiTheme="minorHAnsi" w:hAnsiTheme="minorHAnsi"/>
                <w:sz w:val="24"/>
                <w:szCs w:val="24"/>
                <w:lang w:eastAsia="en-US"/>
              </w:rPr>
            </w:pPr>
          </w:p>
          <w:p w14:paraId="2CF921AE" w14:textId="31AE1F3C" w:rsidR="00397A7F" w:rsidRPr="00FC0705" w:rsidRDefault="006230A3" w:rsidP="00457F04">
            <w:pPr>
              <w:pStyle w:val="NoSpacing"/>
              <w:numPr>
                <w:ilvl w:val="0"/>
                <w:numId w:val="18"/>
              </w:numPr>
              <w:tabs>
                <w:tab w:val="left" w:pos="3402"/>
              </w:tabs>
              <w:jc w:val="both"/>
              <w:rPr>
                <w:rFonts w:eastAsia="Times New Roman"/>
                <w:sz w:val="24"/>
                <w:szCs w:val="24"/>
                <w:lang w:eastAsia="en-US"/>
              </w:rPr>
            </w:pPr>
            <w:r w:rsidRPr="00FC0705">
              <w:rPr>
                <w:sz w:val="24"/>
                <w:szCs w:val="24"/>
                <w:lang w:eastAsia="en-US"/>
              </w:rPr>
              <w:t xml:space="preserve">The </w:t>
            </w:r>
            <w:r w:rsidR="00397A7F" w:rsidRPr="00FC0705">
              <w:rPr>
                <w:sz w:val="24"/>
                <w:szCs w:val="24"/>
                <w:lang w:eastAsia="en-US"/>
              </w:rPr>
              <w:t xml:space="preserve">PD role </w:t>
            </w:r>
            <w:r w:rsidR="003C4443" w:rsidRPr="00FC0705">
              <w:rPr>
                <w:sz w:val="24"/>
                <w:szCs w:val="24"/>
                <w:lang w:eastAsia="en-US"/>
              </w:rPr>
              <w:t>supports</w:t>
            </w:r>
            <w:r w:rsidR="00DC03C5" w:rsidRPr="00FC0705">
              <w:rPr>
                <w:sz w:val="24"/>
                <w:szCs w:val="24"/>
                <w:lang w:eastAsia="en-US"/>
              </w:rPr>
              <w:t xml:space="preserve"> their local </w:t>
            </w:r>
            <w:r w:rsidR="003C4443" w:rsidRPr="00FC0705">
              <w:rPr>
                <w:sz w:val="24"/>
                <w:szCs w:val="24"/>
                <w:lang w:eastAsia="en-US"/>
              </w:rPr>
              <w:t>department</w:t>
            </w:r>
            <w:r w:rsidR="00DC03C5" w:rsidRPr="00FC0705">
              <w:rPr>
                <w:sz w:val="24"/>
                <w:szCs w:val="24"/>
                <w:lang w:eastAsia="en-US"/>
              </w:rPr>
              <w:t xml:space="preserve"> and assures on behalf of the DI</w:t>
            </w:r>
            <w:r w:rsidR="00397A7F" w:rsidRPr="00FC0705">
              <w:rPr>
                <w:sz w:val="24"/>
                <w:szCs w:val="24"/>
                <w:lang w:eastAsia="en-US"/>
              </w:rPr>
              <w:t xml:space="preserve"> that </w:t>
            </w:r>
            <w:r w:rsidR="00534CED" w:rsidRPr="00FC0705">
              <w:rPr>
                <w:sz w:val="24"/>
                <w:szCs w:val="24"/>
                <w:lang w:eastAsia="en-US"/>
              </w:rPr>
              <w:t xml:space="preserve">material collected, stored and used </w:t>
            </w:r>
            <w:r w:rsidR="00457F04" w:rsidRPr="00FC0705">
              <w:rPr>
                <w:sz w:val="24"/>
                <w:szCs w:val="24"/>
                <w:lang w:eastAsia="en-US"/>
              </w:rPr>
              <w:t>under the University of Leicester HTA Research licence</w:t>
            </w:r>
            <w:r w:rsidR="00534CED" w:rsidRPr="00FC0705">
              <w:rPr>
                <w:sz w:val="24"/>
                <w:szCs w:val="24"/>
                <w:lang w:eastAsia="en-US"/>
              </w:rPr>
              <w:t xml:space="preserve"> meets the </w:t>
            </w:r>
            <w:r w:rsidR="00397A7F" w:rsidRPr="00FC0705">
              <w:rPr>
                <w:sz w:val="24"/>
                <w:szCs w:val="24"/>
                <w:lang w:eastAsia="en-US"/>
              </w:rPr>
              <w:t>requirements of the Human Tissue Act 2004 in a coord</w:t>
            </w:r>
            <w:r w:rsidR="00594A69" w:rsidRPr="00FC0705">
              <w:rPr>
                <w:sz w:val="24"/>
                <w:szCs w:val="24"/>
                <w:lang w:eastAsia="en-US"/>
              </w:rPr>
              <w:t xml:space="preserve">inated and standard manner.  </w:t>
            </w:r>
            <w:r w:rsidR="0007092F" w:rsidRPr="00FC0705">
              <w:rPr>
                <w:sz w:val="24"/>
                <w:szCs w:val="24"/>
                <w:lang w:eastAsia="en-US"/>
              </w:rPr>
              <w:t>P</w:t>
            </w:r>
            <w:r w:rsidR="00397A7F" w:rsidRPr="00FC0705">
              <w:rPr>
                <w:sz w:val="24"/>
                <w:szCs w:val="24"/>
                <w:lang w:eastAsia="en-US"/>
              </w:rPr>
              <w:t>rocess</w:t>
            </w:r>
            <w:r w:rsidR="0007092F" w:rsidRPr="00FC0705">
              <w:rPr>
                <w:sz w:val="24"/>
                <w:szCs w:val="24"/>
                <w:lang w:eastAsia="en-US"/>
              </w:rPr>
              <w:t>es</w:t>
            </w:r>
            <w:r w:rsidR="00397A7F" w:rsidRPr="00FC0705">
              <w:rPr>
                <w:sz w:val="24"/>
                <w:szCs w:val="24"/>
                <w:lang w:eastAsia="en-US"/>
              </w:rPr>
              <w:t xml:space="preserve"> will</w:t>
            </w:r>
            <w:r w:rsidR="00594A69" w:rsidRPr="00FC0705">
              <w:rPr>
                <w:sz w:val="24"/>
                <w:szCs w:val="24"/>
                <w:lang w:eastAsia="en-US"/>
              </w:rPr>
              <w:t xml:space="preserve"> be run according to University of Leicester</w:t>
            </w:r>
            <w:r w:rsidR="00397A7F" w:rsidRPr="00FC0705">
              <w:rPr>
                <w:sz w:val="24"/>
                <w:szCs w:val="24"/>
                <w:lang w:eastAsia="en-US"/>
              </w:rPr>
              <w:t xml:space="preserve"> </w:t>
            </w:r>
            <w:r w:rsidR="00594A69" w:rsidRPr="00FC0705">
              <w:rPr>
                <w:sz w:val="24"/>
                <w:szCs w:val="24"/>
                <w:lang w:eastAsia="en-US"/>
              </w:rPr>
              <w:t xml:space="preserve">HTA </w:t>
            </w:r>
            <w:r w:rsidR="00397A7F" w:rsidRPr="00FC0705">
              <w:rPr>
                <w:sz w:val="24"/>
                <w:szCs w:val="24"/>
                <w:lang w:eastAsia="en-US"/>
              </w:rPr>
              <w:t>Standard Operating Procedures</w:t>
            </w:r>
            <w:r w:rsidR="00534CED" w:rsidRPr="00FC0705">
              <w:rPr>
                <w:sz w:val="24"/>
                <w:szCs w:val="24"/>
                <w:lang w:eastAsia="en-US"/>
              </w:rPr>
              <w:t xml:space="preserve"> </w:t>
            </w:r>
            <w:r w:rsidR="00457F04" w:rsidRPr="00FC0705">
              <w:rPr>
                <w:sz w:val="24"/>
                <w:szCs w:val="24"/>
                <w:lang w:eastAsia="en-US"/>
              </w:rPr>
              <w:t>(</w:t>
            </w:r>
            <w:r w:rsidR="00534CED" w:rsidRPr="00FC0705">
              <w:rPr>
                <w:sz w:val="24"/>
                <w:szCs w:val="24"/>
                <w:lang w:eastAsia="en-US"/>
              </w:rPr>
              <w:t>unless superseded by local</w:t>
            </w:r>
            <w:r w:rsidR="00457F04" w:rsidRPr="00FC0705">
              <w:rPr>
                <w:sz w:val="24"/>
                <w:szCs w:val="24"/>
                <w:lang w:eastAsia="en-US"/>
              </w:rPr>
              <w:t>,</w:t>
            </w:r>
            <w:r w:rsidR="00534CED" w:rsidRPr="00FC0705">
              <w:rPr>
                <w:sz w:val="24"/>
                <w:szCs w:val="24"/>
                <w:lang w:eastAsia="en-US"/>
              </w:rPr>
              <w:t xml:space="preserve"> UHL or third party SOPs</w:t>
            </w:r>
            <w:r w:rsidR="00457F04" w:rsidRPr="00FC0705">
              <w:rPr>
                <w:sz w:val="24"/>
                <w:szCs w:val="24"/>
                <w:lang w:eastAsia="en-US"/>
              </w:rPr>
              <w:t>)</w:t>
            </w:r>
            <w:r w:rsidR="00397A7F" w:rsidRPr="00FC0705">
              <w:rPr>
                <w:sz w:val="24"/>
                <w:szCs w:val="24"/>
                <w:lang w:eastAsia="en-US"/>
              </w:rPr>
              <w:t xml:space="preserve"> </w:t>
            </w:r>
            <w:r w:rsidR="00594A69" w:rsidRPr="00FC0705">
              <w:rPr>
                <w:sz w:val="24"/>
                <w:szCs w:val="24"/>
                <w:lang w:eastAsia="en-US"/>
              </w:rPr>
              <w:t xml:space="preserve">which will be </w:t>
            </w:r>
            <w:r w:rsidR="00D33C4F" w:rsidRPr="00FC0705">
              <w:rPr>
                <w:sz w:val="24"/>
                <w:szCs w:val="24"/>
                <w:lang w:eastAsia="en-US"/>
              </w:rPr>
              <w:t xml:space="preserve">reviewed </w:t>
            </w:r>
            <w:r w:rsidR="00D33C4F" w:rsidRPr="00FC0705">
              <w:rPr>
                <w:sz w:val="24"/>
                <w:szCs w:val="24"/>
              </w:rPr>
              <w:t>biannual</w:t>
            </w:r>
            <w:r w:rsidR="00D33C4F" w:rsidRPr="00FC0705">
              <w:rPr>
                <w:sz w:val="24"/>
                <w:szCs w:val="24"/>
                <w:lang w:eastAsia="en-US"/>
              </w:rPr>
              <w:t xml:space="preserve"> </w:t>
            </w:r>
            <w:r w:rsidR="00397A7F" w:rsidRPr="00FC0705">
              <w:rPr>
                <w:sz w:val="24"/>
                <w:szCs w:val="24"/>
                <w:lang w:eastAsia="en-US"/>
              </w:rPr>
              <w:t>as part of research governance standards.</w:t>
            </w:r>
          </w:p>
          <w:p w14:paraId="6C8DCE53" w14:textId="448F5306" w:rsidR="002934EC" w:rsidRPr="002934EC" w:rsidRDefault="00FF16C1" w:rsidP="00A36EB7">
            <w:pPr>
              <w:pStyle w:val="NoSpacing"/>
              <w:numPr>
                <w:ilvl w:val="0"/>
                <w:numId w:val="18"/>
              </w:numPr>
              <w:tabs>
                <w:tab w:val="left" w:pos="3402"/>
              </w:tabs>
              <w:jc w:val="both"/>
              <w:rPr>
                <w:rFonts w:asciiTheme="minorHAnsi" w:eastAsia="Times New Roman" w:hAnsiTheme="minorHAnsi"/>
                <w:sz w:val="24"/>
                <w:szCs w:val="24"/>
                <w:lang w:eastAsia="en-US"/>
              </w:rPr>
            </w:pPr>
            <w:r w:rsidRPr="00FC0705">
              <w:rPr>
                <w:rFonts w:eastAsia="Times New Roman"/>
                <w:sz w:val="24"/>
                <w:szCs w:val="24"/>
                <w:lang w:eastAsia="en-US"/>
              </w:rPr>
              <w:t>Sup</w:t>
            </w:r>
            <w:r w:rsidR="001938E0" w:rsidRPr="00FC0705">
              <w:rPr>
                <w:rFonts w:eastAsia="Times New Roman"/>
                <w:sz w:val="24"/>
                <w:szCs w:val="24"/>
                <w:lang w:eastAsia="en-US"/>
              </w:rPr>
              <w:t>port</w:t>
            </w:r>
            <w:r w:rsidR="00A36EB7">
              <w:rPr>
                <w:rFonts w:eastAsia="Times New Roman"/>
                <w:sz w:val="24"/>
                <w:szCs w:val="24"/>
                <w:lang w:eastAsia="en-US"/>
              </w:rPr>
              <w:t>,</w:t>
            </w:r>
            <w:r w:rsidR="001938E0" w:rsidRPr="00FC0705">
              <w:rPr>
                <w:rFonts w:eastAsia="Times New Roman"/>
                <w:sz w:val="24"/>
                <w:szCs w:val="24"/>
                <w:lang w:eastAsia="en-US"/>
              </w:rPr>
              <w:t xml:space="preserve"> and escort </w:t>
            </w:r>
            <w:r w:rsidR="00A36EB7">
              <w:rPr>
                <w:rFonts w:eastAsia="Times New Roman"/>
                <w:sz w:val="24"/>
                <w:szCs w:val="24"/>
                <w:lang w:eastAsia="en-US"/>
              </w:rPr>
              <w:t xml:space="preserve">where appropriate, the </w:t>
            </w:r>
            <w:r w:rsidR="001938E0" w:rsidRPr="00FC0705">
              <w:rPr>
                <w:rFonts w:eastAsia="Times New Roman"/>
                <w:sz w:val="24"/>
                <w:szCs w:val="24"/>
                <w:lang w:eastAsia="en-US"/>
              </w:rPr>
              <w:t>HTA Governance O</w:t>
            </w:r>
            <w:r w:rsidRPr="00FC0705">
              <w:rPr>
                <w:rFonts w:eastAsia="Times New Roman"/>
                <w:sz w:val="24"/>
                <w:szCs w:val="24"/>
                <w:lang w:eastAsia="en-US"/>
              </w:rPr>
              <w:t xml:space="preserve">fficer </w:t>
            </w:r>
            <w:r w:rsidR="00A36EB7">
              <w:rPr>
                <w:rFonts w:eastAsia="Times New Roman"/>
                <w:sz w:val="24"/>
                <w:szCs w:val="24"/>
                <w:lang w:eastAsia="en-US"/>
              </w:rPr>
              <w:t xml:space="preserve">and external organisations </w:t>
            </w:r>
            <w:r w:rsidRPr="00FC0705">
              <w:rPr>
                <w:rFonts w:eastAsia="Times New Roman"/>
                <w:sz w:val="24"/>
                <w:szCs w:val="24"/>
                <w:lang w:eastAsia="en-US"/>
              </w:rPr>
              <w:t xml:space="preserve">when conducting </w:t>
            </w:r>
            <w:r w:rsidR="00AF5655" w:rsidRPr="00FC0705">
              <w:rPr>
                <w:rFonts w:eastAsia="Times New Roman"/>
                <w:sz w:val="24"/>
                <w:szCs w:val="24"/>
                <w:lang w:eastAsia="en-US"/>
              </w:rPr>
              <w:t xml:space="preserve">departmental </w:t>
            </w:r>
            <w:r w:rsidRPr="00FC0705">
              <w:rPr>
                <w:rFonts w:eastAsia="Times New Roman"/>
                <w:sz w:val="24"/>
                <w:szCs w:val="24"/>
                <w:lang w:eastAsia="en-US"/>
              </w:rPr>
              <w:t>audits</w:t>
            </w:r>
            <w:r w:rsidR="00A36EB7">
              <w:rPr>
                <w:rFonts w:eastAsia="Times New Roman"/>
                <w:sz w:val="24"/>
                <w:szCs w:val="24"/>
                <w:lang w:eastAsia="en-US"/>
              </w:rPr>
              <w:t>, servicing</w:t>
            </w:r>
            <w:r w:rsidRPr="00FC0705">
              <w:rPr>
                <w:rFonts w:eastAsia="Times New Roman"/>
                <w:sz w:val="24"/>
                <w:szCs w:val="24"/>
                <w:lang w:eastAsia="en-US"/>
              </w:rPr>
              <w:t xml:space="preserve"> </w:t>
            </w:r>
            <w:r w:rsidR="00B20D7F" w:rsidRPr="00FC0705">
              <w:rPr>
                <w:rFonts w:eastAsia="Times New Roman"/>
                <w:sz w:val="24"/>
                <w:szCs w:val="24"/>
                <w:lang w:eastAsia="en-US"/>
              </w:rPr>
              <w:t xml:space="preserve">and </w:t>
            </w:r>
            <w:r w:rsidR="00746912" w:rsidRPr="00FC0705">
              <w:rPr>
                <w:rFonts w:eastAsia="Times New Roman"/>
                <w:sz w:val="24"/>
                <w:szCs w:val="24"/>
                <w:lang w:eastAsia="en-US"/>
              </w:rPr>
              <w:t xml:space="preserve">during </w:t>
            </w:r>
            <w:r w:rsidR="001938E0" w:rsidRPr="00FC0705">
              <w:rPr>
                <w:rFonts w:eastAsia="Times New Roman"/>
                <w:sz w:val="24"/>
                <w:szCs w:val="24"/>
                <w:lang w:eastAsia="en-US"/>
              </w:rPr>
              <w:t>Human Tissue</w:t>
            </w:r>
            <w:r w:rsidR="003A62EE" w:rsidRPr="00FC0705">
              <w:rPr>
                <w:rFonts w:eastAsia="Times New Roman"/>
                <w:sz w:val="24"/>
                <w:szCs w:val="24"/>
                <w:lang w:eastAsia="en-US"/>
              </w:rPr>
              <w:t xml:space="preserve"> </w:t>
            </w:r>
            <w:r w:rsidR="00C54FAC" w:rsidRPr="00FC0705">
              <w:rPr>
                <w:rFonts w:eastAsia="Times New Roman"/>
                <w:sz w:val="24"/>
                <w:szCs w:val="24"/>
                <w:lang w:eastAsia="en-US"/>
              </w:rPr>
              <w:t>A</w:t>
            </w:r>
            <w:r w:rsidR="00746912" w:rsidRPr="00FC0705">
              <w:rPr>
                <w:rFonts w:eastAsia="Times New Roman"/>
                <w:sz w:val="24"/>
                <w:szCs w:val="24"/>
                <w:lang w:eastAsia="en-US"/>
              </w:rPr>
              <w:t>uthority regulatory</w:t>
            </w:r>
            <w:r w:rsidR="003A62EE" w:rsidRPr="00FC0705">
              <w:rPr>
                <w:rFonts w:eastAsia="Times New Roman"/>
                <w:sz w:val="24"/>
                <w:szCs w:val="24"/>
                <w:lang w:eastAsia="en-US"/>
              </w:rPr>
              <w:t xml:space="preserve"> </w:t>
            </w:r>
            <w:r w:rsidR="00984036" w:rsidRPr="00FC0705">
              <w:rPr>
                <w:rFonts w:eastAsia="Times New Roman"/>
                <w:sz w:val="24"/>
                <w:szCs w:val="24"/>
                <w:lang w:eastAsia="en-US"/>
              </w:rPr>
              <w:t>I</w:t>
            </w:r>
            <w:r w:rsidR="002934EC" w:rsidRPr="00FC0705">
              <w:rPr>
                <w:rFonts w:eastAsia="Times New Roman"/>
                <w:sz w:val="24"/>
                <w:szCs w:val="24"/>
                <w:lang w:eastAsia="en-US"/>
              </w:rPr>
              <w:t>nspections.</w:t>
            </w:r>
          </w:p>
        </w:tc>
      </w:tr>
    </w:tbl>
    <w:p w14:paraId="2BA675ED" w14:textId="73F95128" w:rsidR="00D4514F" w:rsidRPr="00AC630D" w:rsidRDefault="00D4514F" w:rsidP="007F1F0D">
      <w:pPr>
        <w:rPr>
          <w:sz w:val="24"/>
          <w:szCs w:val="24"/>
          <w:lang w:val="en-US" w:eastAsia="en-US"/>
        </w:rPr>
      </w:pPr>
    </w:p>
    <w:p w14:paraId="3283FCE6" w14:textId="033A2B75" w:rsidR="00244C2F" w:rsidRDefault="00244C2F" w:rsidP="00244C2F">
      <w:pPr>
        <w:rPr>
          <w:sz w:val="24"/>
          <w:lang w:val="en-US" w:eastAsia="en-US"/>
        </w:rPr>
      </w:pPr>
      <w:r w:rsidRPr="00AC630D">
        <w:rPr>
          <w:sz w:val="24"/>
          <w:lang w:val="en-US" w:eastAsia="en-US"/>
        </w:rPr>
        <w:t>Printed name:</w:t>
      </w:r>
      <w:r w:rsidRPr="00AC630D">
        <w:rPr>
          <w:sz w:val="24"/>
          <w:lang w:val="en-US" w:eastAsia="en-US"/>
        </w:rPr>
        <w:tab/>
      </w:r>
      <w:r w:rsidRPr="00AC630D">
        <w:rPr>
          <w:sz w:val="24"/>
          <w:lang w:val="en-US" w:eastAsia="en-US"/>
        </w:rPr>
        <w:tab/>
        <w:t>________________________________</w:t>
      </w:r>
    </w:p>
    <w:p w14:paraId="69A1C852" w14:textId="77777777" w:rsidR="00AC630D" w:rsidRPr="00AC630D" w:rsidRDefault="00AC630D" w:rsidP="00244C2F">
      <w:pPr>
        <w:rPr>
          <w:sz w:val="24"/>
          <w:lang w:val="en-US" w:eastAsia="en-US"/>
        </w:rPr>
      </w:pPr>
    </w:p>
    <w:p w14:paraId="0C89C6D8" w14:textId="77777777" w:rsidR="00244C2F" w:rsidRPr="00AC630D" w:rsidRDefault="00244C2F" w:rsidP="00244C2F">
      <w:pPr>
        <w:rPr>
          <w:sz w:val="24"/>
          <w:lang w:val="en-US" w:eastAsia="en-US"/>
        </w:rPr>
      </w:pPr>
      <w:r w:rsidRPr="00AC630D">
        <w:rPr>
          <w:sz w:val="24"/>
          <w:lang w:val="en-US" w:eastAsia="en-US"/>
        </w:rPr>
        <w:t>Signature:</w:t>
      </w:r>
      <w:r w:rsidRPr="00AC630D">
        <w:rPr>
          <w:sz w:val="24"/>
          <w:lang w:val="en-US" w:eastAsia="en-US"/>
        </w:rPr>
        <w:tab/>
      </w:r>
      <w:r w:rsidRPr="00AC630D">
        <w:rPr>
          <w:sz w:val="24"/>
          <w:lang w:val="en-US" w:eastAsia="en-US"/>
        </w:rPr>
        <w:tab/>
        <w:t>________________________________</w:t>
      </w:r>
      <w:r w:rsidRPr="00AC630D">
        <w:rPr>
          <w:sz w:val="24"/>
          <w:lang w:val="en-US" w:eastAsia="en-US"/>
        </w:rPr>
        <w:tab/>
        <w:t>Date:</w:t>
      </w:r>
      <w:r w:rsidRPr="00AC630D">
        <w:rPr>
          <w:sz w:val="24"/>
          <w:lang w:val="en-US" w:eastAsia="en-US"/>
        </w:rPr>
        <w:tab/>
        <w:t>______________</w:t>
      </w:r>
    </w:p>
    <w:p w14:paraId="1C9E044B" w14:textId="77777777" w:rsidR="00C42F60" w:rsidRPr="00AC630D" w:rsidRDefault="00C42F60" w:rsidP="00244C2F">
      <w:pPr>
        <w:ind w:left="720" w:firstLine="1440"/>
        <w:rPr>
          <w:sz w:val="24"/>
          <w:lang w:val="en-US" w:eastAsia="en-US"/>
        </w:rPr>
      </w:pPr>
      <w:r w:rsidRPr="00AC630D">
        <w:rPr>
          <w:sz w:val="24"/>
          <w:lang w:val="en-US" w:eastAsia="en-US"/>
        </w:rPr>
        <w:t>XXXXXX XXXXXXXXXX</w:t>
      </w:r>
    </w:p>
    <w:p w14:paraId="21853283" w14:textId="4B7936AC" w:rsidR="00244C2F" w:rsidRPr="00AC630D" w:rsidRDefault="00244C2F" w:rsidP="00AC630D">
      <w:pPr>
        <w:ind w:left="720" w:firstLine="1440"/>
        <w:rPr>
          <w:sz w:val="24"/>
          <w:lang w:val="en-US" w:eastAsia="en-US"/>
        </w:rPr>
      </w:pPr>
      <w:r w:rsidRPr="00AC630D">
        <w:rPr>
          <w:sz w:val="24"/>
          <w:lang w:val="en-US" w:eastAsia="en-US"/>
        </w:rPr>
        <w:t>Person Designated</w:t>
      </w:r>
      <w:r w:rsidRPr="00AC630D">
        <w:rPr>
          <w:sz w:val="24"/>
          <w:lang w:val="en-US" w:eastAsia="en-US"/>
        </w:rPr>
        <w:br/>
      </w:r>
      <w:r w:rsidRPr="00AC630D">
        <w:rPr>
          <w:sz w:val="24"/>
          <w:lang w:val="en-US" w:eastAsia="en-US"/>
        </w:rPr>
        <w:tab/>
      </w:r>
      <w:r w:rsidRPr="00AC630D">
        <w:rPr>
          <w:sz w:val="24"/>
          <w:lang w:val="en-US" w:eastAsia="en-US"/>
        </w:rPr>
        <w:tab/>
      </w:r>
      <w:r w:rsidR="00B20D7F" w:rsidRPr="00AC630D">
        <w:rPr>
          <w:sz w:val="24"/>
          <w:lang w:val="en-US" w:eastAsia="en-US"/>
        </w:rPr>
        <w:t>XXXX   XXXX</w:t>
      </w:r>
      <w:r w:rsidR="008F791C" w:rsidRPr="00AC630D">
        <w:rPr>
          <w:sz w:val="24"/>
          <w:lang w:val="en-US" w:eastAsia="en-US"/>
        </w:rPr>
        <w:t>XXXXX</w:t>
      </w:r>
      <w:r w:rsidR="0065747C" w:rsidRPr="00AC630D">
        <w:rPr>
          <w:sz w:val="24"/>
          <w:lang w:val="en-US" w:eastAsia="en-US"/>
        </w:rPr>
        <w:t xml:space="preserve"> </w:t>
      </w:r>
      <w:r w:rsidR="00930276" w:rsidRPr="00AC630D">
        <w:rPr>
          <w:sz w:val="24"/>
          <w:lang w:val="en-US" w:eastAsia="en-US"/>
        </w:rPr>
        <w:t>Licensed area name</w:t>
      </w:r>
      <w:r w:rsidR="008378E1" w:rsidRPr="00AC630D">
        <w:rPr>
          <w:sz w:val="24"/>
          <w:lang w:val="en-US" w:eastAsia="en-US"/>
        </w:rPr>
        <w:t>? /</w:t>
      </w:r>
      <w:r w:rsidR="00F07EF9" w:rsidRPr="00AC630D">
        <w:rPr>
          <w:sz w:val="24"/>
          <w:lang w:val="en-US" w:eastAsia="en-US"/>
        </w:rPr>
        <w:t>Department</w:t>
      </w:r>
    </w:p>
    <w:p w14:paraId="0DEF800B" w14:textId="77777777" w:rsidR="00244C2F" w:rsidRPr="00AC630D" w:rsidRDefault="00244C2F" w:rsidP="00244C2F">
      <w:pPr>
        <w:rPr>
          <w:sz w:val="24"/>
          <w:lang w:val="en-US" w:eastAsia="en-US"/>
        </w:rPr>
      </w:pPr>
      <w:r w:rsidRPr="00AC630D">
        <w:rPr>
          <w:sz w:val="24"/>
          <w:lang w:val="en-US" w:eastAsia="en-US"/>
        </w:rPr>
        <w:t>Printed name:</w:t>
      </w:r>
      <w:r w:rsidRPr="00AC630D">
        <w:rPr>
          <w:sz w:val="24"/>
          <w:lang w:val="en-US" w:eastAsia="en-US"/>
        </w:rPr>
        <w:tab/>
      </w:r>
      <w:r w:rsidRPr="00AC630D">
        <w:rPr>
          <w:sz w:val="24"/>
          <w:lang w:val="en-US" w:eastAsia="en-US"/>
        </w:rPr>
        <w:tab/>
        <w:t>________________________________</w:t>
      </w:r>
    </w:p>
    <w:p w14:paraId="53F13ECD" w14:textId="30E38CDC" w:rsidR="00244C2F" w:rsidRPr="00AC630D" w:rsidRDefault="00244C2F" w:rsidP="00244C2F">
      <w:pPr>
        <w:rPr>
          <w:sz w:val="24"/>
          <w:lang w:val="en-US" w:eastAsia="en-US"/>
        </w:rPr>
      </w:pPr>
    </w:p>
    <w:p w14:paraId="69031191" w14:textId="77777777" w:rsidR="00244C2F" w:rsidRPr="00AC630D" w:rsidRDefault="00244C2F" w:rsidP="00244C2F">
      <w:pPr>
        <w:rPr>
          <w:sz w:val="24"/>
          <w:lang w:val="en-US" w:eastAsia="en-US"/>
        </w:rPr>
      </w:pPr>
      <w:r w:rsidRPr="00AC630D">
        <w:rPr>
          <w:sz w:val="24"/>
          <w:lang w:val="en-US" w:eastAsia="en-US"/>
        </w:rPr>
        <w:t>Signature:</w:t>
      </w:r>
      <w:r w:rsidRPr="00AC630D">
        <w:rPr>
          <w:sz w:val="24"/>
          <w:lang w:val="en-US" w:eastAsia="en-US"/>
        </w:rPr>
        <w:tab/>
      </w:r>
      <w:r w:rsidRPr="00AC630D">
        <w:rPr>
          <w:sz w:val="24"/>
          <w:lang w:val="en-US" w:eastAsia="en-US"/>
        </w:rPr>
        <w:tab/>
        <w:t>________________________________</w:t>
      </w:r>
      <w:r w:rsidRPr="00AC630D">
        <w:rPr>
          <w:sz w:val="24"/>
          <w:lang w:val="en-US" w:eastAsia="en-US"/>
        </w:rPr>
        <w:tab/>
        <w:t>Date:</w:t>
      </w:r>
      <w:r w:rsidRPr="00AC630D">
        <w:rPr>
          <w:sz w:val="24"/>
          <w:lang w:val="en-US" w:eastAsia="en-US"/>
        </w:rPr>
        <w:tab/>
        <w:t>______________</w:t>
      </w:r>
    </w:p>
    <w:p w14:paraId="35C5D260" w14:textId="26C8C940" w:rsidR="00A10D10" w:rsidRPr="00AC630D" w:rsidRDefault="00AC630D" w:rsidP="002934EC">
      <w:pPr>
        <w:ind w:left="2160"/>
        <w:rPr>
          <w:sz w:val="24"/>
          <w:szCs w:val="24"/>
          <w:lang w:val="en-US" w:eastAsia="en-US"/>
        </w:rPr>
      </w:pPr>
      <w:r w:rsidRPr="00AC630D">
        <w:rPr>
          <w:sz w:val="24"/>
          <w:lang w:val="en-US" w:eastAsia="en-US"/>
        </w:rPr>
        <w:t>Professor Peter Bradding</w:t>
      </w:r>
      <w:r w:rsidR="00C42F60" w:rsidRPr="00AC630D">
        <w:rPr>
          <w:sz w:val="24"/>
          <w:lang w:val="en-US" w:eastAsia="en-US"/>
        </w:rPr>
        <w:br/>
      </w:r>
      <w:r w:rsidR="00244C2F" w:rsidRPr="00AC630D">
        <w:rPr>
          <w:sz w:val="24"/>
          <w:lang w:val="en-US" w:eastAsia="en-US"/>
        </w:rPr>
        <w:t xml:space="preserve">Designated </w:t>
      </w:r>
      <w:r w:rsidR="0001676E" w:rsidRPr="00AC630D">
        <w:rPr>
          <w:sz w:val="24"/>
          <w:lang w:val="en-US" w:eastAsia="en-US"/>
        </w:rPr>
        <w:t>Individual</w:t>
      </w:r>
    </w:p>
    <w:sectPr w:rsidR="00A10D10" w:rsidRPr="00AC630D" w:rsidSect="003703A8">
      <w:headerReference w:type="default" r:id="rId7"/>
      <w:footerReference w:type="default" r:id="rId8"/>
      <w:pgSz w:w="11906" w:h="16838" w:code="9"/>
      <w:pgMar w:top="1134" w:right="1418" w:bottom="1134" w:left="1418" w:header="85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AD40" w14:textId="77777777" w:rsidR="00EF6A9A" w:rsidRDefault="00EF6A9A" w:rsidP="00555E85">
      <w:pPr>
        <w:spacing w:after="0" w:line="240" w:lineRule="auto"/>
      </w:pPr>
      <w:r>
        <w:separator/>
      </w:r>
    </w:p>
  </w:endnote>
  <w:endnote w:type="continuationSeparator" w:id="0">
    <w:p w14:paraId="7589E0A6" w14:textId="77777777" w:rsidR="00EF6A9A" w:rsidRDefault="00EF6A9A" w:rsidP="0055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6571797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7BC2599C" w14:textId="7CAB2445" w:rsidR="005348B3" w:rsidRDefault="005348B3" w:rsidP="005348B3">
            <w:pPr>
              <w:tabs>
                <w:tab w:val="center" w:pos="5040"/>
                <w:tab w:val="right" w:pos="9720"/>
              </w:tabs>
              <w:spacing w:after="0" w:line="240" w:lineRule="auto"/>
              <w:jc w:val="both"/>
              <w:rPr>
                <w:rFonts w:eastAsia="Times New Roman"/>
                <w:bCs/>
                <w:sz w:val="24"/>
                <w:szCs w:val="24"/>
                <w:lang w:val="en-US" w:eastAsia="en-GB"/>
              </w:rPr>
            </w:pPr>
            <w:r>
              <w:rPr>
                <w:sz w:val="24"/>
                <w:szCs w:val="24"/>
              </w:rPr>
              <w:t xml:space="preserve">Persons Designated (HTA) </w:t>
            </w:r>
            <w:r>
              <w:rPr>
                <w:sz w:val="24"/>
                <w:szCs w:val="24"/>
              </w:rPr>
              <w:tab/>
            </w:r>
            <w:r w:rsidR="00F53AE1">
              <w:rPr>
                <w:rFonts w:eastAsia="Times New Roman"/>
                <w:sz w:val="24"/>
                <w:szCs w:val="24"/>
                <w:lang w:eastAsia="en-GB"/>
              </w:rPr>
              <w:t>Version 1.0 August</w:t>
            </w:r>
            <w:r>
              <w:rPr>
                <w:rFonts w:eastAsia="Times New Roman"/>
                <w:sz w:val="24"/>
                <w:szCs w:val="24"/>
                <w:lang w:eastAsia="en-GB"/>
              </w:rPr>
              <w:t xml:space="preserve"> 2022</w:t>
            </w:r>
            <w:r>
              <w:rPr>
                <w:rFonts w:eastAsia="Times New Roman"/>
                <w:sz w:val="24"/>
                <w:szCs w:val="24"/>
                <w:lang w:val="en-US" w:eastAsia="en-GB"/>
              </w:rPr>
              <w:t xml:space="preserve"> </w:t>
            </w:r>
            <w:r>
              <w:rPr>
                <w:rFonts w:eastAsia="Times New Roman"/>
                <w:sz w:val="24"/>
                <w:szCs w:val="24"/>
                <w:lang w:val="en-US" w:eastAsia="en-GB"/>
              </w:rPr>
              <w:tab/>
            </w:r>
            <w:r w:rsidR="00D53289" w:rsidRPr="005348B3">
              <w:rPr>
                <w:rFonts w:eastAsia="Times New Roman"/>
                <w:bCs/>
                <w:sz w:val="24"/>
                <w:szCs w:val="24"/>
                <w:lang w:val="en-US" w:eastAsia="en-GB"/>
              </w:rPr>
              <w:t xml:space="preserve">Page </w:t>
            </w:r>
            <w:r w:rsidR="00D53289" w:rsidRPr="005348B3">
              <w:rPr>
                <w:rFonts w:eastAsia="Times New Roman"/>
                <w:bCs/>
                <w:sz w:val="24"/>
                <w:szCs w:val="24"/>
                <w:lang w:val="en-US" w:eastAsia="en-GB"/>
              </w:rPr>
              <w:fldChar w:fldCharType="begin"/>
            </w:r>
            <w:r w:rsidR="00D53289" w:rsidRPr="005348B3">
              <w:rPr>
                <w:rFonts w:eastAsia="Times New Roman"/>
                <w:bCs/>
                <w:sz w:val="24"/>
                <w:szCs w:val="24"/>
                <w:lang w:val="en-US" w:eastAsia="en-GB"/>
              </w:rPr>
              <w:instrText xml:space="preserve"> PAGE </w:instrText>
            </w:r>
            <w:r w:rsidR="00D53289" w:rsidRPr="005348B3">
              <w:rPr>
                <w:rFonts w:eastAsia="Times New Roman"/>
                <w:bCs/>
                <w:sz w:val="24"/>
                <w:szCs w:val="24"/>
                <w:lang w:val="en-US" w:eastAsia="en-GB"/>
              </w:rPr>
              <w:fldChar w:fldCharType="separate"/>
            </w:r>
            <w:r w:rsidR="008378E1">
              <w:rPr>
                <w:rFonts w:eastAsia="Times New Roman"/>
                <w:bCs/>
                <w:noProof/>
                <w:sz w:val="24"/>
                <w:szCs w:val="24"/>
                <w:lang w:val="en-US" w:eastAsia="en-GB"/>
              </w:rPr>
              <w:t>5</w:t>
            </w:r>
            <w:r w:rsidR="00D53289" w:rsidRPr="005348B3">
              <w:rPr>
                <w:rFonts w:eastAsia="Times New Roman"/>
                <w:bCs/>
                <w:sz w:val="24"/>
                <w:szCs w:val="24"/>
                <w:lang w:val="en-US" w:eastAsia="en-GB"/>
              </w:rPr>
              <w:fldChar w:fldCharType="end"/>
            </w:r>
            <w:r w:rsidR="00D53289" w:rsidRPr="005348B3">
              <w:rPr>
                <w:rFonts w:eastAsia="Times New Roman"/>
                <w:bCs/>
                <w:sz w:val="24"/>
                <w:szCs w:val="24"/>
                <w:lang w:val="en-US" w:eastAsia="en-GB"/>
              </w:rPr>
              <w:t xml:space="preserve"> of </w:t>
            </w:r>
            <w:r w:rsidR="00D53289" w:rsidRPr="005348B3">
              <w:rPr>
                <w:rFonts w:eastAsia="Times New Roman"/>
                <w:bCs/>
                <w:sz w:val="24"/>
                <w:szCs w:val="24"/>
                <w:lang w:val="en-US" w:eastAsia="en-GB"/>
              </w:rPr>
              <w:fldChar w:fldCharType="begin"/>
            </w:r>
            <w:r w:rsidR="00D53289" w:rsidRPr="005348B3">
              <w:rPr>
                <w:rFonts w:eastAsia="Times New Roman"/>
                <w:bCs/>
                <w:sz w:val="24"/>
                <w:szCs w:val="24"/>
                <w:lang w:val="en-US" w:eastAsia="en-GB"/>
              </w:rPr>
              <w:instrText xml:space="preserve"> NUMPAGES </w:instrText>
            </w:r>
            <w:r w:rsidR="00D53289" w:rsidRPr="005348B3">
              <w:rPr>
                <w:rFonts w:eastAsia="Times New Roman"/>
                <w:bCs/>
                <w:sz w:val="24"/>
                <w:szCs w:val="24"/>
                <w:lang w:val="en-US" w:eastAsia="en-GB"/>
              </w:rPr>
              <w:fldChar w:fldCharType="separate"/>
            </w:r>
            <w:r w:rsidR="008378E1">
              <w:rPr>
                <w:rFonts w:eastAsia="Times New Roman"/>
                <w:bCs/>
                <w:noProof/>
                <w:sz w:val="24"/>
                <w:szCs w:val="24"/>
                <w:lang w:val="en-US" w:eastAsia="en-GB"/>
              </w:rPr>
              <w:t>5</w:t>
            </w:r>
            <w:r w:rsidR="00D53289" w:rsidRPr="005348B3">
              <w:rPr>
                <w:rFonts w:eastAsia="Times New Roman"/>
                <w:bCs/>
                <w:sz w:val="24"/>
                <w:szCs w:val="24"/>
                <w:lang w:val="en-US" w:eastAsia="en-GB"/>
              </w:rPr>
              <w:fldChar w:fldCharType="end"/>
            </w:r>
          </w:p>
          <w:p w14:paraId="4442F740" w14:textId="234667AE" w:rsidR="00ED4B25" w:rsidRDefault="005C7B03" w:rsidP="00ED4B25">
            <w:pPr>
              <w:tabs>
                <w:tab w:val="center" w:pos="5040"/>
                <w:tab w:val="right" w:pos="9720"/>
              </w:tabs>
              <w:spacing w:after="0" w:line="240" w:lineRule="auto"/>
              <w:jc w:val="both"/>
              <w:rPr>
                <w:sz w:val="18"/>
                <w:szCs w:val="18"/>
              </w:rPr>
            </w:pPr>
            <w:r w:rsidRPr="005348B3">
              <w:rPr>
                <w:rFonts w:eastAsia="Times New Roman"/>
                <w:sz w:val="24"/>
                <w:szCs w:val="24"/>
                <w:lang w:val="en-US" w:eastAsia="en-GB"/>
              </w:rPr>
              <w:t xml:space="preserve">Next Review: </w:t>
            </w:r>
            <w:r w:rsidR="00F53AE1">
              <w:rPr>
                <w:rFonts w:eastAsia="Times New Roman"/>
                <w:sz w:val="24"/>
                <w:szCs w:val="24"/>
                <w:lang w:val="en-US" w:eastAsia="en-GB"/>
              </w:rPr>
              <w:t>August</w:t>
            </w:r>
            <w:r w:rsidR="005348B3">
              <w:rPr>
                <w:rFonts w:eastAsia="Times New Roman"/>
                <w:sz w:val="24"/>
                <w:szCs w:val="24"/>
                <w:lang w:val="en-US" w:eastAsia="en-GB"/>
              </w:rPr>
              <w:t xml:space="preserve"> 2024</w:t>
            </w:r>
          </w:p>
          <w:p w14:paraId="026CFCE5" w14:textId="6B181D06" w:rsidR="00D53289" w:rsidRPr="00ED4B25" w:rsidRDefault="00D53289" w:rsidP="00ED4B25">
            <w:pPr>
              <w:tabs>
                <w:tab w:val="center" w:pos="5040"/>
                <w:tab w:val="right" w:pos="9720"/>
              </w:tabs>
              <w:spacing w:after="0" w:line="240" w:lineRule="auto"/>
              <w:jc w:val="both"/>
              <w:rPr>
                <w:sz w:val="18"/>
                <w:szCs w:val="18"/>
              </w:rPr>
            </w:pPr>
            <w:r w:rsidRPr="005348B3">
              <w:rPr>
                <w:rFonts w:eastAsia="Times New Roman"/>
                <w:sz w:val="24"/>
                <w:szCs w:val="24"/>
                <w:lang w:val="en-US" w:eastAsia="en-GB"/>
              </w:rPr>
              <w:t xml:space="preserve">NB: Paper copies of this document may not be most </w:t>
            </w:r>
            <w:r w:rsidR="005348B3">
              <w:rPr>
                <w:rFonts w:eastAsia="Times New Roman"/>
                <w:sz w:val="24"/>
                <w:szCs w:val="24"/>
                <w:lang w:val="en-US" w:eastAsia="en-GB"/>
              </w:rPr>
              <w:t>recent version.  The definitive version</w:t>
            </w:r>
            <w:r w:rsidRPr="005348B3">
              <w:rPr>
                <w:rFonts w:eastAsia="Times New Roman"/>
                <w:sz w:val="24"/>
                <w:szCs w:val="24"/>
                <w:lang w:val="en-US" w:eastAsia="en-GB"/>
              </w:rPr>
              <w:t xml:space="preserve"> is held on UoL </w:t>
            </w:r>
            <w:r w:rsidR="005348B3">
              <w:rPr>
                <w:rFonts w:eastAsia="Times New Roman"/>
                <w:sz w:val="24"/>
                <w:szCs w:val="24"/>
                <w:lang w:val="en-US" w:eastAsia="en-GB"/>
              </w:rPr>
              <w:t>REGI HTA Webpages</w:t>
            </w:r>
            <w:r w:rsidR="00ED4B25">
              <w:rPr>
                <w:rFonts w:eastAsia="Times New Roman"/>
                <w:sz w:val="24"/>
                <w:szCs w:val="24"/>
                <w:lang w:val="en-US" w:eastAsia="en-GB"/>
              </w:rPr>
              <w:t>.</w:t>
            </w:r>
          </w:p>
          <w:p w14:paraId="2A2E7CD0" w14:textId="77777777" w:rsidR="009F5EE8" w:rsidRPr="009F5EE8" w:rsidRDefault="009F5EE8" w:rsidP="009F5EE8">
            <w:pPr>
              <w:pStyle w:val="Footer"/>
              <w:jc w:val="right"/>
              <w:rPr>
                <w:sz w:val="18"/>
                <w:szCs w:val="18"/>
              </w:rPr>
            </w:pPr>
            <w:r>
              <w:rPr>
                <w:sz w:val="18"/>
                <w:szCs w:val="18"/>
              </w:rPr>
              <w:t xml:space="preserve">      </w:t>
            </w:r>
          </w:p>
        </w:sdtContent>
      </w:sdt>
    </w:sdtContent>
  </w:sdt>
  <w:p w14:paraId="54770411" w14:textId="77777777" w:rsidR="009F5EE8" w:rsidRDefault="009F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C827" w14:textId="77777777" w:rsidR="00EF6A9A" w:rsidRDefault="00EF6A9A" w:rsidP="00555E85">
      <w:pPr>
        <w:spacing w:after="0" w:line="240" w:lineRule="auto"/>
      </w:pPr>
      <w:r>
        <w:separator/>
      </w:r>
    </w:p>
  </w:footnote>
  <w:footnote w:type="continuationSeparator" w:id="0">
    <w:p w14:paraId="0A9A2672" w14:textId="77777777" w:rsidR="00EF6A9A" w:rsidRDefault="00EF6A9A" w:rsidP="0055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5723"/>
    </w:tblGrid>
    <w:tr w:rsidR="00F946A6" w:rsidRPr="00C35932" w14:paraId="538FB2CF" w14:textId="77777777" w:rsidTr="00C3289E">
      <w:trPr>
        <w:trHeight w:val="1648"/>
      </w:trPr>
      <w:tc>
        <w:tcPr>
          <w:tcW w:w="3718" w:type="dxa"/>
          <w:shd w:val="clear" w:color="auto" w:fill="000000"/>
          <w:vAlign w:val="center"/>
        </w:tcPr>
        <w:p w14:paraId="3AC6DFC7" w14:textId="77777777" w:rsidR="00F946A6" w:rsidRPr="006B04E7" w:rsidRDefault="00F946A6" w:rsidP="009764C3">
          <w:pPr>
            <w:spacing w:before="60" w:after="60"/>
            <w:jc w:val="center"/>
            <w:rPr>
              <w:color w:val="FF0000"/>
              <w:sz w:val="24"/>
              <w:szCs w:val="24"/>
            </w:rPr>
          </w:pPr>
        </w:p>
        <w:p w14:paraId="7A83AE3B" w14:textId="0BCBCF9B" w:rsidR="009576AD" w:rsidRPr="00ED4B25" w:rsidRDefault="00ED4B25" w:rsidP="009576AD">
          <w:pPr>
            <w:spacing w:before="60" w:after="60"/>
            <w:jc w:val="center"/>
            <w:rPr>
              <w:color w:val="FFFFFF" w:themeColor="background1"/>
              <w:sz w:val="36"/>
              <w:szCs w:val="24"/>
            </w:rPr>
          </w:pPr>
          <w:r>
            <w:rPr>
              <w:color w:val="FFFFFF" w:themeColor="background1"/>
              <w:sz w:val="36"/>
              <w:szCs w:val="24"/>
            </w:rPr>
            <w:t>Research Ethics and Integrity (REGI)</w:t>
          </w:r>
        </w:p>
        <w:p w14:paraId="28BFFE94" w14:textId="77777777" w:rsidR="00F946A6" w:rsidRPr="006B04E7" w:rsidRDefault="005C7B03" w:rsidP="009576AD">
          <w:pPr>
            <w:spacing w:before="60" w:after="60"/>
            <w:jc w:val="center"/>
            <w:rPr>
              <w:color w:val="FFFFFF"/>
              <w:sz w:val="24"/>
              <w:szCs w:val="24"/>
            </w:rPr>
          </w:pPr>
          <w:r w:rsidRPr="00ED4B25">
            <w:rPr>
              <w:color w:val="FFFFFF" w:themeColor="background1"/>
              <w:sz w:val="36"/>
              <w:szCs w:val="24"/>
            </w:rPr>
            <w:t xml:space="preserve"> Role D</w:t>
          </w:r>
          <w:r w:rsidR="009576AD" w:rsidRPr="00ED4B25">
            <w:rPr>
              <w:color w:val="FFFFFF" w:themeColor="background1"/>
              <w:sz w:val="36"/>
              <w:szCs w:val="24"/>
            </w:rPr>
            <w:t xml:space="preserve">escriptions </w:t>
          </w:r>
        </w:p>
      </w:tc>
      <w:tc>
        <w:tcPr>
          <w:tcW w:w="5723" w:type="dxa"/>
          <w:shd w:val="clear" w:color="auto" w:fill="FFFFFF" w:themeFill="background1"/>
          <w:vAlign w:val="bottom"/>
        </w:tcPr>
        <w:p w14:paraId="68963207" w14:textId="2CFAC7B1" w:rsidR="00F946A6" w:rsidRPr="00ED4B25" w:rsidRDefault="00ED4B25" w:rsidP="00ED4B25">
          <w:pPr>
            <w:spacing w:line="240" w:lineRule="auto"/>
            <w:rPr>
              <w:bCs/>
              <w:noProof/>
              <w:sz w:val="28"/>
              <w:szCs w:val="24"/>
            </w:rPr>
          </w:pPr>
          <w:r w:rsidRPr="00ED4B25">
            <w:rPr>
              <w:bCs/>
              <w:noProof/>
              <w:sz w:val="28"/>
              <w:szCs w:val="24"/>
            </w:rPr>
            <w:t>Persons Designated (PD) on the HTA Research Licence</w:t>
          </w:r>
        </w:p>
        <w:p w14:paraId="650A3492" w14:textId="56260E84" w:rsidR="00F946A6" w:rsidRPr="006B04E7" w:rsidRDefault="00246D3A" w:rsidP="008A19A1">
          <w:pPr>
            <w:spacing w:line="240" w:lineRule="auto"/>
            <w:rPr>
              <w:bCs/>
              <w:sz w:val="24"/>
              <w:szCs w:val="24"/>
            </w:rPr>
          </w:pPr>
          <w:r w:rsidRPr="006B04E7">
            <w:rPr>
              <w:bCs/>
              <w:sz w:val="24"/>
              <w:szCs w:val="24"/>
            </w:rPr>
            <w:t>Date</w:t>
          </w:r>
          <w:r w:rsidR="00341019" w:rsidRPr="006B04E7">
            <w:rPr>
              <w:bCs/>
              <w:sz w:val="24"/>
              <w:szCs w:val="24"/>
            </w:rPr>
            <w:t xml:space="preserve">: </w:t>
          </w:r>
          <w:r w:rsidR="00F53AE1">
            <w:rPr>
              <w:bCs/>
              <w:sz w:val="24"/>
              <w:szCs w:val="24"/>
            </w:rPr>
            <w:t>August</w:t>
          </w:r>
          <w:r w:rsidR="006B04E7" w:rsidRPr="006B04E7">
            <w:rPr>
              <w:bCs/>
              <w:sz w:val="24"/>
              <w:szCs w:val="24"/>
            </w:rPr>
            <w:t xml:space="preserve"> 2022</w:t>
          </w:r>
          <w:r w:rsidR="00F946A6" w:rsidRPr="006B04E7">
            <w:rPr>
              <w:bCs/>
              <w:sz w:val="24"/>
              <w:szCs w:val="24"/>
            </w:rPr>
            <w:t xml:space="preserve">   </w:t>
          </w:r>
          <w:r w:rsidR="00CD3177" w:rsidRPr="006B04E7">
            <w:rPr>
              <w:bCs/>
              <w:noProof/>
              <w:sz w:val="24"/>
              <w:szCs w:val="24"/>
            </w:rPr>
            <w:t>HTA-JOB-PD</w:t>
          </w:r>
          <w:r w:rsidR="00341019" w:rsidRPr="006B04E7">
            <w:rPr>
              <w:bCs/>
              <w:noProof/>
              <w:sz w:val="24"/>
              <w:szCs w:val="24"/>
            </w:rPr>
            <w:t xml:space="preserve"> </w:t>
          </w:r>
          <w:r w:rsidR="00F53AE1">
            <w:rPr>
              <w:bCs/>
              <w:noProof/>
              <w:sz w:val="24"/>
              <w:szCs w:val="24"/>
            </w:rPr>
            <w:t>Version 1.0</w:t>
          </w:r>
        </w:p>
      </w:tc>
    </w:tr>
  </w:tbl>
  <w:p w14:paraId="4ACB8D02" w14:textId="16EED368" w:rsidR="001770AE" w:rsidRPr="00397A7F" w:rsidRDefault="008378E1" w:rsidP="00397A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6A9"/>
    <w:multiLevelType w:val="hybridMultilevel"/>
    <w:tmpl w:val="40544078"/>
    <w:lvl w:ilvl="0" w:tplc="08090001">
      <w:start w:val="1"/>
      <w:numFmt w:val="bullet"/>
      <w:lvlText w:val=""/>
      <w:lvlJc w:val="left"/>
      <w:pPr>
        <w:ind w:left="720" w:hanging="360"/>
      </w:pPr>
      <w:rPr>
        <w:rFonts w:ascii="Symbol" w:hAnsi="Symbol" w:hint="default"/>
      </w:rPr>
    </w:lvl>
    <w:lvl w:ilvl="1" w:tplc="905EE856">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56EF8"/>
    <w:multiLevelType w:val="hybridMultilevel"/>
    <w:tmpl w:val="C176583E"/>
    <w:lvl w:ilvl="0" w:tplc="F4A86544">
      <w:start w:val="1417"/>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C61C5"/>
    <w:multiLevelType w:val="hybridMultilevel"/>
    <w:tmpl w:val="9CC48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1CD8"/>
    <w:multiLevelType w:val="hybridMultilevel"/>
    <w:tmpl w:val="99F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7743D"/>
    <w:multiLevelType w:val="hybridMultilevel"/>
    <w:tmpl w:val="41EA1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130F0C"/>
    <w:multiLevelType w:val="hybridMultilevel"/>
    <w:tmpl w:val="C4EA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11544"/>
    <w:multiLevelType w:val="hybridMultilevel"/>
    <w:tmpl w:val="1714B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51FE0"/>
    <w:multiLevelType w:val="hybridMultilevel"/>
    <w:tmpl w:val="250821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F5D46BC"/>
    <w:multiLevelType w:val="hybridMultilevel"/>
    <w:tmpl w:val="9FA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F2DC0"/>
    <w:multiLevelType w:val="hybridMultilevel"/>
    <w:tmpl w:val="5DBA37D4"/>
    <w:lvl w:ilvl="0" w:tplc="67744B28">
      <w:numFmt w:val="bullet"/>
      <w:lvlText w:val="·"/>
      <w:lvlJc w:val="left"/>
      <w:pPr>
        <w:ind w:left="720" w:hanging="360"/>
      </w:pPr>
      <w:rPr>
        <w:rFonts w:ascii="Arial" w:eastAsia="SimSun" w:hAnsi="Arial" w:cs="Arial" w:hint="default"/>
      </w:rPr>
    </w:lvl>
    <w:lvl w:ilvl="1" w:tplc="203ADC16">
      <w:numFmt w:val="bullet"/>
      <w:lvlText w:val=""/>
      <w:lvlJc w:val="left"/>
      <w:pPr>
        <w:ind w:left="1440" w:hanging="360"/>
      </w:pPr>
      <w:rPr>
        <w:rFonts w:ascii="Symbol" w:eastAsia="SimSu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36357"/>
    <w:multiLevelType w:val="hybridMultilevel"/>
    <w:tmpl w:val="E51282CA"/>
    <w:lvl w:ilvl="0" w:tplc="95A8B46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0C3099"/>
    <w:multiLevelType w:val="hybridMultilevel"/>
    <w:tmpl w:val="2290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0178C"/>
    <w:multiLevelType w:val="hybridMultilevel"/>
    <w:tmpl w:val="09EC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B3833"/>
    <w:multiLevelType w:val="hybridMultilevel"/>
    <w:tmpl w:val="D27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448A6"/>
    <w:multiLevelType w:val="hybridMultilevel"/>
    <w:tmpl w:val="BB92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56538"/>
    <w:multiLevelType w:val="hybridMultilevel"/>
    <w:tmpl w:val="B87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75A6B"/>
    <w:multiLevelType w:val="hybridMultilevel"/>
    <w:tmpl w:val="2ADC8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A7144B"/>
    <w:multiLevelType w:val="hybridMultilevel"/>
    <w:tmpl w:val="6FA0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2427F"/>
    <w:multiLevelType w:val="hybridMultilevel"/>
    <w:tmpl w:val="799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E5D55"/>
    <w:multiLevelType w:val="hybridMultilevel"/>
    <w:tmpl w:val="B2B4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5611B"/>
    <w:multiLevelType w:val="hybridMultilevel"/>
    <w:tmpl w:val="38046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19"/>
  </w:num>
  <w:num w:numId="6">
    <w:abstractNumId w:val="18"/>
  </w:num>
  <w:num w:numId="7">
    <w:abstractNumId w:val="16"/>
  </w:num>
  <w:num w:numId="8">
    <w:abstractNumId w:val="6"/>
  </w:num>
  <w:num w:numId="9">
    <w:abstractNumId w:val="4"/>
  </w:num>
  <w:num w:numId="10">
    <w:abstractNumId w:val="14"/>
  </w:num>
  <w:num w:numId="11">
    <w:abstractNumId w:val="7"/>
  </w:num>
  <w:num w:numId="12">
    <w:abstractNumId w:val="20"/>
  </w:num>
  <w:num w:numId="13">
    <w:abstractNumId w:val="5"/>
  </w:num>
  <w:num w:numId="14">
    <w:abstractNumId w:val="15"/>
  </w:num>
  <w:num w:numId="15">
    <w:abstractNumId w:val="11"/>
  </w:num>
  <w:num w:numId="16">
    <w:abstractNumId w:val="2"/>
  </w:num>
  <w:num w:numId="17">
    <w:abstractNumId w:val="3"/>
  </w:num>
  <w:num w:numId="18">
    <w:abstractNumId w:val="0"/>
  </w:num>
  <w:num w:numId="19">
    <w:abstractNumId w:val="1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85"/>
    <w:rsid w:val="0001676E"/>
    <w:rsid w:val="000242ED"/>
    <w:rsid w:val="00047026"/>
    <w:rsid w:val="00051E33"/>
    <w:rsid w:val="000624A1"/>
    <w:rsid w:val="0007092F"/>
    <w:rsid w:val="000941A5"/>
    <w:rsid w:val="000B4AC3"/>
    <w:rsid w:val="000C6340"/>
    <w:rsid w:val="000E1910"/>
    <w:rsid w:val="000E2A29"/>
    <w:rsid w:val="000F7CD7"/>
    <w:rsid w:val="00122783"/>
    <w:rsid w:val="001478AD"/>
    <w:rsid w:val="00163919"/>
    <w:rsid w:val="001845AD"/>
    <w:rsid w:val="001938E0"/>
    <w:rsid w:val="001B460E"/>
    <w:rsid w:val="001D15F0"/>
    <w:rsid w:val="001E1365"/>
    <w:rsid w:val="001E1368"/>
    <w:rsid w:val="001F19CF"/>
    <w:rsid w:val="001F7096"/>
    <w:rsid w:val="00214481"/>
    <w:rsid w:val="00217337"/>
    <w:rsid w:val="002329ED"/>
    <w:rsid w:val="00244C2F"/>
    <w:rsid w:val="00246D3A"/>
    <w:rsid w:val="00246DFC"/>
    <w:rsid w:val="0025044E"/>
    <w:rsid w:val="0026290C"/>
    <w:rsid w:val="00281680"/>
    <w:rsid w:val="002848E0"/>
    <w:rsid w:val="002934EC"/>
    <w:rsid w:val="002A1F2E"/>
    <w:rsid w:val="002D0717"/>
    <w:rsid w:val="002F43E4"/>
    <w:rsid w:val="003028AD"/>
    <w:rsid w:val="003046CA"/>
    <w:rsid w:val="00321C9A"/>
    <w:rsid w:val="00341019"/>
    <w:rsid w:val="0036408A"/>
    <w:rsid w:val="003703A8"/>
    <w:rsid w:val="0038348C"/>
    <w:rsid w:val="00395E8A"/>
    <w:rsid w:val="0039746B"/>
    <w:rsid w:val="00397A7F"/>
    <w:rsid w:val="003A3BEB"/>
    <w:rsid w:val="003A62EE"/>
    <w:rsid w:val="003B0FF9"/>
    <w:rsid w:val="003B5BE1"/>
    <w:rsid w:val="003C4103"/>
    <w:rsid w:val="003C4443"/>
    <w:rsid w:val="003C44F7"/>
    <w:rsid w:val="003D5688"/>
    <w:rsid w:val="003E5586"/>
    <w:rsid w:val="003F5672"/>
    <w:rsid w:val="00413437"/>
    <w:rsid w:val="004467D7"/>
    <w:rsid w:val="00454379"/>
    <w:rsid w:val="00457F04"/>
    <w:rsid w:val="004609C0"/>
    <w:rsid w:val="00465738"/>
    <w:rsid w:val="004A2E9B"/>
    <w:rsid w:val="004B3A45"/>
    <w:rsid w:val="004C439B"/>
    <w:rsid w:val="004F3D3E"/>
    <w:rsid w:val="005115D3"/>
    <w:rsid w:val="00512BC0"/>
    <w:rsid w:val="00524CCE"/>
    <w:rsid w:val="0053078E"/>
    <w:rsid w:val="00531E2C"/>
    <w:rsid w:val="005335E7"/>
    <w:rsid w:val="005348B3"/>
    <w:rsid w:val="00534CED"/>
    <w:rsid w:val="00555E85"/>
    <w:rsid w:val="00577A57"/>
    <w:rsid w:val="005865A2"/>
    <w:rsid w:val="00594787"/>
    <w:rsid w:val="00594A69"/>
    <w:rsid w:val="00595E2A"/>
    <w:rsid w:val="005C2CDE"/>
    <w:rsid w:val="005C7B03"/>
    <w:rsid w:val="005E171F"/>
    <w:rsid w:val="005E5340"/>
    <w:rsid w:val="005F293F"/>
    <w:rsid w:val="005F6825"/>
    <w:rsid w:val="00602951"/>
    <w:rsid w:val="006230A3"/>
    <w:rsid w:val="00642DCE"/>
    <w:rsid w:val="00645E67"/>
    <w:rsid w:val="0065747C"/>
    <w:rsid w:val="00657744"/>
    <w:rsid w:val="00664383"/>
    <w:rsid w:val="00674FD4"/>
    <w:rsid w:val="006A6E0D"/>
    <w:rsid w:val="006B04E7"/>
    <w:rsid w:val="006B5C89"/>
    <w:rsid w:val="006C2214"/>
    <w:rsid w:val="006C652D"/>
    <w:rsid w:val="006C7592"/>
    <w:rsid w:val="00716692"/>
    <w:rsid w:val="0072423F"/>
    <w:rsid w:val="00736C76"/>
    <w:rsid w:val="00746912"/>
    <w:rsid w:val="007514A1"/>
    <w:rsid w:val="00780BCF"/>
    <w:rsid w:val="007A397E"/>
    <w:rsid w:val="007A73F8"/>
    <w:rsid w:val="007D2860"/>
    <w:rsid w:val="007F1F0D"/>
    <w:rsid w:val="00814EEF"/>
    <w:rsid w:val="00823EE5"/>
    <w:rsid w:val="008378E1"/>
    <w:rsid w:val="00862F1B"/>
    <w:rsid w:val="008668F1"/>
    <w:rsid w:val="0086769A"/>
    <w:rsid w:val="00872112"/>
    <w:rsid w:val="008726F9"/>
    <w:rsid w:val="00881856"/>
    <w:rsid w:val="00891CB7"/>
    <w:rsid w:val="008A19A1"/>
    <w:rsid w:val="008C2B18"/>
    <w:rsid w:val="008E1748"/>
    <w:rsid w:val="008E3482"/>
    <w:rsid w:val="008F1381"/>
    <w:rsid w:val="008F791C"/>
    <w:rsid w:val="00903A25"/>
    <w:rsid w:val="00917F0D"/>
    <w:rsid w:val="00930276"/>
    <w:rsid w:val="00956561"/>
    <w:rsid w:val="00957271"/>
    <w:rsid w:val="009576AD"/>
    <w:rsid w:val="00970793"/>
    <w:rsid w:val="00983162"/>
    <w:rsid w:val="00984036"/>
    <w:rsid w:val="009900C1"/>
    <w:rsid w:val="009B6751"/>
    <w:rsid w:val="009C63D3"/>
    <w:rsid w:val="009D06A7"/>
    <w:rsid w:val="009E457A"/>
    <w:rsid w:val="009F5EE8"/>
    <w:rsid w:val="009F7A45"/>
    <w:rsid w:val="00A03999"/>
    <w:rsid w:val="00A04097"/>
    <w:rsid w:val="00A05448"/>
    <w:rsid w:val="00A10D10"/>
    <w:rsid w:val="00A10FEA"/>
    <w:rsid w:val="00A30766"/>
    <w:rsid w:val="00A36EB7"/>
    <w:rsid w:val="00A376F6"/>
    <w:rsid w:val="00A40405"/>
    <w:rsid w:val="00A849F8"/>
    <w:rsid w:val="00AC1800"/>
    <w:rsid w:val="00AC630D"/>
    <w:rsid w:val="00AC7203"/>
    <w:rsid w:val="00AD6CEA"/>
    <w:rsid w:val="00AE1F15"/>
    <w:rsid w:val="00AE4202"/>
    <w:rsid w:val="00AF0A8C"/>
    <w:rsid w:val="00AF5655"/>
    <w:rsid w:val="00AF7C01"/>
    <w:rsid w:val="00B06479"/>
    <w:rsid w:val="00B07A3D"/>
    <w:rsid w:val="00B15CE2"/>
    <w:rsid w:val="00B20D7F"/>
    <w:rsid w:val="00B23691"/>
    <w:rsid w:val="00B24B0E"/>
    <w:rsid w:val="00B34033"/>
    <w:rsid w:val="00B44A3F"/>
    <w:rsid w:val="00B57C41"/>
    <w:rsid w:val="00B605FB"/>
    <w:rsid w:val="00B75A56"/>
    <w:rsid w:val="00B85072"/>
    <w:rsid w:val="00B96490"/>
    <w:rsid w:val="00BA25BB"/>
    <w:rsid w:val="00BC50B5"/>
    <w:rsid w:val="00BD2EBE"/>
    <w:rsid w:val="00BD3F87"/>
    <w:rsid w:val="00BE60D6"/>
    <w:rsid w:val="00C04720"/>
    <w:rsid w:val="00C22EC1"/>
    <w:rsid w:val="00C23EF8"/>
    <w:rsid w:val="00C3289E"/>
    <w:rsid w:val="00C343D9"/>
    <w:rsid w:val="00C42F60"/>
    <w:rsid w:val="00C43377"/>
    <w:rsid w:val="00C52132"/>
    <w:rsid w:val="00C54FAC"/>
    <w:rsid w:val="00C77515"/>
    <w:rsid w:val="00C82918"/>
    <w:rsid w:val="00C858F9"/>
    <w:rsid w:val="00C90FA1"/>
    <w:rsid w:val="00C966B8"/>
    <w:rsid w:val="00CD3177"/>
    <w:rsid w:val="00CD4B0E"/>
    <w:rsid w:val="00D05D60"/>
    <w:rsid w:val="00D17485"/>
    <w:rsid w:val="00D33C4F"/>
    <w:rsid w:val="00D43ECD"/>
    <w:rsid w:val="00D4514F"/>
    <w:rsid w:val="00D53289"/>
    <w:rsid w:val="00D739AC"/>
    <w:rsid w:val="00D836DE"/>
    <w:rsid w:val="00DB7250"/>
    <w:rsid w:val="00DC03C5"/>
    <w:rsid w:val="00DC1DA9"/>
    <w:rsid w:val="00DD67D7"/>
    <w:rsid w:val="00DF4917"/>
    <w:rsid w:val="00E10AAF"/>
    <w:rsid w:val="00E15BD2"/>
    <w:rsid w:val="00E475A4"/>
    <w:rsid w:val="00E479F4"/>
    <w:rsid w:val="00E80479"/>
    <w:rsid w:val="00E82ADB"/>
    <w:rsid w:val="00E91E8F"/>
    <w:rsid w:val="00E93DFC"/>
    <w:rsid w:val="00E94D62"/>
    <w:rsid w:val="00EA5FB8"/>
    <w:rsid w:val="00EB1B27"/>
    <w:rsid w:val="00EB7A6A"/>
    <w:rsid w:val="00EC1D1E"/>
    <w:rsid w:val="00EC1EB7"/>
    <w:rsid w:val="00EC3676"/>
    <w:rsid w:val="00EC65F6"/>
    <w:rsid w:val="00ED4B25"/>
    <w:rsid w:val="00ED728D"/>
    <w:rsid w:val="00EE2B80"/>
    <w:rsid w:val="00EF6A9A"/>
    <w:rsid w:val="00F00678"/>
    <w:rsid w:val="00F01339"/>
    <w:rsid w:val="00F07EF9"/>
    <w:rsid w:val="00F26413"/>
    <w:rsid w:val="00F30916"/>
    <w:rsid w:val="00F3092D"/>
    <w:rsid w:val="00F53AE1"/>
    <w:rsid w:val="00F5525F"/>
    <w:rsid w:val="00F823E9"/>
    <w:rsid w:val="00F92DC9"/>
    <w:rsid w:val="00F946A6"/>
    <w:rsid w:val="00FB2F6B"/>
    <w:rsid w:val="00FC0705"/>
    <w:rsid w:val="00FD1B0F"/>
    <w:rsid w:val="00FD37B5"/>
    <w:rsid w:val="00FD604B"/>
    <w:rsid w:val="00FF16C1"/>
    <w:rsid w:val="00FF521F"/>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14A61"/>
  <w15:docId w15:val="{7934B7CF-625E-44CA-9E7B-06726C7C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BB"/>
    <w:rPr>
      <w:rFonts w:ascii="Arial" w:eastAsia="SimSun" w:hAnsi="Arial" w:cs="Arial"/>
      <w:lang w:eastAsia="zh-CN"/>
    </w:rPr>
  </w:style>
  <w:style w:type="paragraph" w:styleId="Heading1">
    <w:name w:val="heading 1"/>
    <w:basedOn w:val="Normal"/>
    <w:next w:val="Normal"/>
    <w:link w:val="Heading1Char"/>
    <w:qFormat/>
    <w:rsid w:val="0041343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E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E85"/>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555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E85"/>
    <w:rPr>
      <w:rFonts w:ascii="Arial" w:eastAsia="SimSun" w:hAnsi="Arial" w:cs="Arial"/>
      <w:lang w:eastAsia="zh-CN"/>
    </w:rPr>
  </w:style>
  <w:style w:type="paragraph" w:styleId="Footer">
    <w:name w:val="footer"/>
    <w:basedOn w:val="Normal"/>
    <w:link w:val="FooterChar"/>
    <w:uiPriority w:val="99"/>
    <w:unhideWhenUsed/>
    <w:rsid w:val="00555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E85"/>
    <w:rPr>
      <w:rFonts w:ascii="Arial" w:eastAsia="SimSun" w:hAnsi="Arial" w:cs="Arial"/>
      <w:lang w:eastAsia="zh-CN"/>
    </w:rPr>
  </w:style>
  <w:style w:type="character" w:styleId="Strong">
    <w:name w:val="Strong"/>
    <w:basedOn w:val="DefaultParagraphFont"/>
    <w:uiPriority w:val="22"/>
    <w:qFormat/>
    <w:rsid w:val="004C439B"/>
    <w:rPr>
      <w:b/>
      <w:bCs/>
    </w:rPr>
  </w:style>
  <w:style w:type="paragraph" w:styleId="NoSpacing">
    <w:name w:val="No Spacing"/>
    <w:uiPriority w:val="1"/>
    <w:qFormat/>
    <w:rsid w:val="00531E2C"/>
    <w:pPr>
      <w:spacing w:after="0" w:line="240" w:lineRule="auto"/>
    </w:pPr>
    <w:rPr>
      <w:rFonts w:ascii="Arial" w:eastAsia="SimSun" w:hAnsi="Arial" w:cs="Arial"/>
      <w:lang w:eastAsia="zh-CN"/>
    </w:rPr>
  </w:style>
  <w:style w:type="paragraph" w:styleId="BalloonText">
    <w:name w:val="Balloon Text"/>
    <w:basedOn w:val="Normal"/>
    <w:link w:val="BalloonTextChar"/>
    <w:uiPriority w:val="99"/>
    <w:semiHidden/>
    <w:unhideWhenUsed/>
    <w:rsid w:val="00F9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A6"/>
    <w:rPr>
      <w:rFonts w:ascii="Tahoma" w:eastAsia="SimSun" w:hAnsi="Tahoma" w:cs="Tahoma"/>
      <w:sz w:val="16"/>
      <w:szCs w:val="16"/>
      <w:lang w:eastAsia="zh-CN"/>
    </w:rPr>
  </w:style>
  <w:style w:type="paragraph" w:styleId="ListParagraph">
    <w:name w:val="List Paragraph"/>
    <w:basedOn w:val="Normal"/>
    <w:uiPriority w:val="34"/>
    <w:qFormat/>
    <w:rsid w:val="00F3092D"/>
    <w:pPr>
      <w:ind w:left="720"/>
      <w:contextualSpacing/>
    </w:pPr>
  </w:style>
  <w:style w:type="character" w:customStyle="1" w:styleId="Heading1Char">
    <w:name w:val="Heading 1 Char"/>
    <w:basedOn w:val="DefaultParagraphFont"/>
    <w:link w:val="Heading1"/>
    <w:rsid w:val="00413437"/>
    <w:rPr>
      <w:rFonts w:ascii="Cambria" w:eastAsia="Times New Roman" w:hAnsi="Cambria" w:cs="Times New Roman"/>
      <w:b/>
      <w:bCs/>
      <w:kern w:val="32"/>
      <w:sz w:val="32"/>
      <w:szCs w:val="32"/>
      <w:lang w:eastAsia="en-GB"/>
    </w:rPr>
  </w:style>
  <w:style w:type="character" w:styleId="Hyperlink">
    <w:name w:val="Hyperlink"/>
    <w:uiPriority w:val="99"/>
    <w:unhideWhenUsed/>
    <w:rsid w:val="00413437"/>
    <w:rPr>
      <w:color w:val="0000FF"/>
      <w:u w:val="single"/>
    </w:rPr>
  </w:style>
  <w:style w:type="character" w:styleId="CommentReference">
    <w:name w:val="annotation reference"/>
    <w:basedOn w:val="DefaultParagraphFont"/>
    <w:uiPriority w:val="99"/>
    <w:semiHidden/>
    <w:unhideWhenUsed/>
    <w:rsid w:val="002F43E4"/>
    <w:rPr>
      <w:sz w:val="16"/>
      <w:szCs w:val="16"/>
    </w:rPr>
  </w:style>
  <w:style w:type="paragraph" w:styleId="CommentText">
    <w:name w:val="annotation text"/>
    <w:basedOn w:val="Normal"/>
    <w:link w:val="CommentTextChar"/>
    <w:uiPriority w:val="99"/>
    <w:semiHidden/>
    <w:unhideWhenUsed/>
    <w:rsid w:val="002F43E4"/>
    <w:pPr>
      <w:spacing w:line="240" w:lineRule="auto"/>
    </w:pPr>
    <w:rPr>
      <w:sz w:val="20"/>
      <w:szCs w:val="20"/>
    </w:rPr>
  </w:style>
  <w:style w:type="character" w:customStyle="1" w:styleId="CommentTextChar">
    <w:name w:val="Comment Text Char"/>
    <w:basedOn w:val="DefaultParagraphFont"/>
    <w:link w:val="CommentText"/>
    <w:uiPriority w:val="99"/>
    <w:semiHidden/>
    <w:rsid w:val="002F43E4"/>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2F43E4"/>
    <w:rPr>
      <w:b/>
      <w:bCs/>
    </w:rPr>
  </w:style>
  <w:style w:type="character" w:customStyle="1" w:styleId="CommentSubjectChar">
    <w:name w:val="Comment Subject Char"/>
    <w:basedOn w:val="CommentTextChar"/>
    <w:link w:val="CommentSubject"/>
    <w:uiPriority w:val="99"/>
    <w:semiHidden/>
    <w:rsid w:val="002F43E4"/>
    <w:rPr>
      <w:rFonts w:ascii="Arial" w:eastAsia="SimSun" w:hAnsi="Arial" w:cs="Arial"/>
      <w:b/>
      <w:bCs/>
      <w:sz w:val="20"/>
      <w:szCs w:val="20"/>
      <w:lang w:eastAsia="zh-CN"/>
    </w:rPr>
  </w:style>
  <w:style w:type="paragraph" w:styleId="Revision">
    <w:name w:val="Revision"/>
    <w:hidden/>
    <w:uiPriority w:val="99"/>
    <w:semiHidden/>
    <w:rsid w:val="00F01339"/>
    <w:pPr>
      <w:spacing w:after="0" w:line="240" w:lineRule="auto"/>
    </w:pPr>
    <w:rPr>
      <w:rFonts w:ascii="Arial" w:eastAsia="SimSun" w:hAnsi="Arial" w:cs="Arial"/>
      <w:lang w:eastAsia="zh-CN"/>
    </w:rPr>
  </w:style>
  <w:style w:type="paragraph" w:styleId="NormalWeb">
    <w:name w:val="Normal (Web)"/>
    <w:basedOn w:val="Normal"/>
    <w:uiPriority w:val="99"/>
    <w:semiHidden/>
    <w:unhideWhenUsed/>
    <w:rsid w:val="006A6E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8067">
      <w:bodyDiv w:val="1"/>
      <w:marLeft w:val="0"/>
      <w:marRight w:val="0"/>
      <w:marTop w:val="0"/>
      <w:marBottom w:val="0"/>
      <w:divBdr>
        <w:top w:val="none" w:sz="0" w:space="0" w:color="auto"/>
        <w:left w:val="none" w:sz="0" w:space="0" w:color="auto"/>
        <w:bottom w:val="none" w:sz="0" w:space="0" w:color="auto"/>
        <w:right w:val="none" w:sz="0" w:space="0" w:color="auto"/>
      </w:divBdr>
    </w:div>
    <w:div w:id="380327857">
      <w:bodyDiv w:val="1"/>
      <w:marLeft w:val="0"/>
      <w:marRight w:val="0"/>
      <w:marTop w:val="0"/>
      <w:marBottom w:val="0"/>
      <w:divBdr>
        <w:top w:val="none" w:sz="0" w:space="0" w:color="auto"/>
        <w:left w:val="none" w:sz="0" w:space="0" w:color="auto"/>
        <w:bottom w:val="none" w:sz="0" w:space="0" w:color="auto"/>
        <w:right w:val="none" w:sz="0" w:space="0" w:color="auto"/>
      </w:divBdr>
      <w:divsChild>
        <w:div w:id="1902862480">
          <w:marLeft w:val="0"/>
          <w:marRight w:val="0"/>
          <w:marTop w:val="0"/>
          <w:marBottom w:val="0"/>
          <w:divBdr>
            <w:top w:val="none" w:sz="0" w:space="0" w:color="auto"/>
            <w:left w:val="single" w:sz="6" w:space="15" w:color="D3D3B1"/>
            <w:bottom w:val="single" w:sz="6" w:space="0" w:color="D3D3B1"/>
            <w:right w:val="single" w:sz="6" w:space="15" w:color="D3D3B1"/>
          </w:divBdr>
          <w:divsChild>
            <w:div w:id="760028795">
              <w:marLeft w:val="0"/>
              <w:marRight w:val="0"/>
              <w:marTop w:val="0"/>
              <w:marBottom w:val="0"/>
              <w:divBdr>
                <w:top w:val="none" w:sz="0" w:space="0" w:color="auto"/>
                <w:left w:val="none" w:sz="0" w:space="0" w:color="auto"/>
                <w:bottom w:val="none" w:sz="0" w:space="0" w:color="auto"/>
                <w:right w:val="none" w:sz="0" w:space="0" w:color="auto"/>
              </w:divBdr>
              <w:divsChild>
                <w:div w:id="5292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50847">
      <w:bodyDiv w:val="1"/>
      <w:marLeft w:val="0"/>
      <w:marRight w:val="0"/>
      <w:marTop w:val="0"/>
      <w:marBottom w:val="0"/>
      <w:divBdr>
        <w:top w:val="none" w:sz="0" w:space="0" w:color="auto"/>
        <w:left w:val="none" w:sz="0" w:space="0" w:color="auto"/>
        <w:bottom w:val="none" w:sz="0" w:space="0" w:color="auto"/>
        <w:right w:val="none" w:sz="0" w:space="0" w:color="auto"/>
      </w:divBdr>
      <w:divsChild>
        <w:div w:id="1882787647">
          <w:marLeft w:val="0"/>
          <w:marRight w:val="0"/>
          <w:marTop w:val="0"/>
          <w:marBottom w:val="0"/>
          <w:divBdr>
            <w:top w:val="none" w:sz="0" w:space="0" w:color="auto"/>
            <w:left w:val="none" w:sz="0" w:space="0" w:color="auto"/>
            <w:bottom w:val="none" w:sz="0" w:space="0" w:color="auto"/>
            <w:right w:val="none" w:sz="0" w:space="0" w:color="auto"/>
          </w:divBdr>
        </w:div>
        <w:div w:id="1644002841">
          <w:marLeft w:val="0"/>
          <w:marRight w:val="0"/>
          <w:marTop w:val="0"/>
          <w:marBottom w:val="0"/>
          <w:divBdr>
            <w:top w:val="none" w:sz="0" w:space="0" w:color="auto"/>
            <w:left w:val="none" w:sz="0" w:space="0" w:color="auto"/>
            <w:bottom w:val="none" w:sz="0" w:space="0" w:color="auto"/>
            <w:right w:val="none" w:sz="0" w:space="0" w:color="auto"/>
          </w:divBdr>
        </w:div>
      </w:divsChild>
    </w:div>
    <w:div w:id="732582239">
      <w:bodyDiv w:val="1"/>
      <w:marLeft w:val="0"/>
      <w:marRight w:val="0"/>
      <w:marTop w:val="0"/>
      <w:marBottom w:val="0"/>
      <w:divBdr>
        <w:top w:val="none" w:sz="0" w:space="0" w:color="auto"/>
        <w:left w:val="none" w:sz="0" w:space="0" w:color="auto"/>
        <w:bottom w:val="none" w:sz="0" w:space="0" w:color="auto"/>
        <w:right w:val="none" w:sz="0" w:space="0" w:color="auto"/>
      </w:divBdr>
    </w:div>
    <w:div w:id="833449799">
      <w:bodyDiv w:val="1"/>
      <w:marLeft w:val="0"/>
      <w:marRight w:val="0"/>
      <w:marTop w:val="0"/>
      <w:marBottom w:val="0"/>
      <w:divBdr>
        <w:top w:val="none" w:sz="0" w:space="0" w:color="auto"/>
        <w:left w:val="none" w:sz="0" w:space="0" w:color="auto"/>
        <w:bottom w:val="none" w:sz="0" w:space="0" w:color="auto"/>
        <w:right w:val="none" w:sz="0" w:space="0" w:color="auto"/>
      </w:divBdr>
      <w:divsChild>
        <w:div w:id="343241257">
          <w:marLeft w:val="0"/>
          <w:marRight w:val="0"/>
          <w:marTop w:val="0"/>
          <w:marBottom w:val="0"/>
          <w:divBdr>
            <w:top w:val="none" w:sz="0" w:space="0" w:color="auto"/>
            <w:left w:val="single" w:sz="6" w:space="15" w:color="D3D3B1"/>
            <w:bottom w:val="single" w:sz="6" w:space="0" w:color="D3D3B1"/>
            <w:right w:val="single" w:sz="6" w:space="15" w:color="D3D3B1"/>
          </w:divBdr>
          <w:divsChild>
            <w:div w:id="1206480721">
              <w:marLeft w:val="0"/>
              <w:marRight w:val="0"/>
              <w:marTop w:val="0"/>
              <w:marBottom w:val="0"/>
              <w:divBdr>
                <w:top w:val="none" w:sz="0" w:space="0" w:color="auto"/>
                <w:left w:val="none" w:sz="0" w:space="0" w:color="auto"/>
                <w:bottom w:val="none" w:sz="0" w:space="0" w:color="auto"/>
                <w:right w:val="none" w:sz="0" w:space="0" w:color="auto"/>
              </w:divBdr>
              <w:divsChild>
                <w:div w:id="1007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9050">
      <w:bodyDiv w:val="1"/>
      <w:marLeft w:val="0"/>
      <w:marRight w:val="0"/>
      <w:marTop w:val="0"/>
      <w:marBottom w:val="0"/>
      <w:divBdr>
        <w:top w:val="none" w:sz="0" w:space="0" w:color="auto"/>
        <w:left w:val="none" w:sz="0" w:space="0" w:color="auto"/>
        <w:bottom w:val="none" w:sz="0" w:space="0" w:color="auto"/>
        <w:right w:val="none" w:sz="0" w:space="0" w:color="auto"/>
      </w:divBdr>
      <w:divsChild>
        <w:div w:id="265579986">
          <w:marLeft w:val="0"/>
          <w:marRight w:val="0"/>
          <w:marTop w:val="0"/>
          <w:marBottom w:val="0"/>
          <w:divBdr>
            <w:top w:val="none" w:sz="0" w:space="0" w:color="auto"/>
            <w:left w:val="none" w:sz="0" w:space="0" w:color="auto"/>
            <w:bottom w:val="none" w:sz="0" w:space="0" w:color="auto"/>
            <w:right w:val="none" w:sz="0" w:space="0" w:color="auto"/>
          </w:divBdr>
        </w:div>
      </w:divsChild>
    </w:div>
    <w:div w:id="1984042072">
      <w:bodyDiv w:val="1"/>
      <w:marLeft w:val="0"/>
      <w:marRight w:val="0"/>
      <w:marTop w:val="0"/>
      <w:marBottom w:val="0"/>
      <w:divBdr>
        <w:top w:val="none" w:sz="0" w:space="0" w:color="auto"/>
        <w:left w:val="none" w:sz="0" w:space="0" w:color="auto"/>
        <w:bottom w:val="none" w:sz="0" w:space="0" w:color="auto"/>
        <w:right w:val="none" w:sz="0" w:space="0" w:color="auto"/>
      </w:divBdr>
    </w:div>
    <w:div w:id="20172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tle2</dc:creator>
  <cp:lastModifiedBy>Sutcliffe, Amanda J. (Dr.)</cp:lastModifiedBy>
  <cp:revision>3</cp:revision>
  <cp:lastPrinted>2016-03-10T14:31:00Z</cp:lastPrinted>
  <dcterms:created xsi:type="dcterms:W3CDTF">2022-08-10T12:27:00Z</dcterms:created>
  <dcterms:modified xsi:type="dcterms:W3CDTF">2022-08-11T06:15:00Z</dcterms:modified>
</cp:coreProperties>
</file>