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A6" w:rsidRDefault="00A67AA6" w:rsidP="00A67AA6">
      <w:pPr>
        <w:spacing w:before="272"/>
        <w:ind w:left="103"/>
        <w:rPr>
          <w:sz w:val="41"/>
        </w:rPr>
      </w:pPr>
      <w:r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7EE5C69" wp14:editId="3E5C19BC">
            <wp:extent cx="1694815" cy="44513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67AA6">
        <w:rPr>
          <w:sz w:val="41"/>
        </w:rPr>
        <w:t xml:space="preserve"> </w:t>
      </w:r>
      <w:r>
        <w:rPr>
          <w:sz w:val="41"/>
        </w:rPr>
        <w:tab/>
      </w:r>
      <w:r>
        <w:rPr>
          <w:sz w:val="41"/>
        </w:rPr>
        <w:tab/>
      </w:r>
      <w:r>
        <w:rPr>
          <w:sz w:val="41"/>
        </w:rPr>
        <w:tab/>
      </w:r>
      <w:r>
        <w:rPr>
          <w:sz w:val="41"/>
        </w:rPr>
        <w:tab/>
      </w:r>
      <w:r>
        <w:rPr>
          <w:sz w:val="41"/>
        </w:rPr>
        <w:tab/>
      </w:r>
      <w:r>
        <w:rPr>
          <w:sz w:val="41"/>
        </w:rPr>
        <w:tab/>
      </w:r>
      <w:r>
        <w:rPr>
          <w:sz w:val="41"/>
        </w:rPr>
        <w:tab/>
      </w:r>
      <w:r w:rsidRPr="00A67AA6">
        <w:rPr>
          <w:rFonts w:ascii="Arial" w:hAnsi="Arial" w:cs="Arial"/>
          <w:sz w:val="41"/>
        </w:rPr>
        <w:t>Information Assurance Services</w:t>
      </w:r>
    </w:p>
    <w:p w:rsidR="00A67AA6" w:rsidRPr="00A67AA6" w:rsidRDefault="00A67AA6" w:rsidP="00A67AA6">
      <w:pPr>
        <w:spacing w:before="272"/>
        <w:ind w:left="103"/>
        <w:rPr>
          <w:sz w:val="41"/>
        </w:rPr>
      </w:pPr>
      <w:r w:rsidRPr="00A67AA6">
        <w:rPr>
          <w:rFonts w:ascii="Arial" w:hAnsi="Arial" w:cs="Arial"/>
          <w:b/>
          <w:sz w:val="35"/>
        </w:rPr>
        <w:t>University data classification decision tree and model</w:t>
      </w:r>
      <w:bookmarkStart w:id="0" w:name="_GoBack"/>
      <w:bookmarkEnd w:id="0"/>
    </w:p>
    <w:p w:rsidR="00A67AA6" w:rsidRPr="00A67AA6" w:rsidRDefault="00A67AA6" w:rsidP="00A67AA6">
      <w:pPr>
        <w:rPr>
          <w:rFonts w:ascii="Arial" w:eastAsia="Times New Roman" w:hAnsi="Arial" w:cs="Arial"/>
          <w:color w:val="333333"/>
          <w:lang w:eastAsia="en-GB"/>
        </w:rPr>
      </w:pPr>
      <w:r w:rsidRPr="00A67AA6">
        <w:rPr>
          <w:rFonts w:ascii="Arial" w:hAnsi="Arial" w:cs="Arial"/>
          <w:b/>
          <w:w w:val="105"/>
          <w:sz w:val="32"/>
        </w:rPr>
        <w:t xml:space="preserve"> </w:t>
      </w:r>
      <w:r w:rsidRPr="00A67AA6">
        <w:rPr>
          <w:rFonts w:ascii="Arial" w:hAnsi="Arial" w:cs="Arial"/>
          <w:b/>
          <w:w w:val="105"/>
          <w:sz w:val="32"/>
        </w:rPr>
        <w:t>Decision tree</w:t>
      </w:r>
    </w:p>
    <w:p w:rsidR="00A342D0" w:rsidRPr="00A67AA6" w:rsidRDefault="00A342D0" w:rsidP="00A67AA6">
      <w:pPr>
        <w:rPr>
          <w:rFonts w:ascii="Arial" w:hAnsi="Arial" w:cs="Arial"/>
          <w:b/>
          <w:lang w:eastAsia="en-GB"/>
        </w:rPr>
      </w:pPr>
      <w:r w:rsidRPr="00A67AA6">
        <w:rPr>
          <w:rFonts w:ascii="Arial" w:hAnsi="Arial" w:cs="Arial"/>
          <w:lang w:eastAsia="en-GB"/>
        </w:rPr>
        <w:t>Different types of data fit within different security levels, each of which has a level of risk attached should this data be lost, leaked or misused. The matrix shows the University data and risk classifications, with examples of data that fit into each classification.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342D0" w:rsidRPr="00A67AA6" w:rsidTr="00C92BB8">
        <w:tc>
          <w:tcPr>
            <w:tcW w:w="13948" w:type="dxa"/>
            <w:gridSpan w:val="5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333333"/>
                <w:lang w:eastAsia="en-GB"/>
              </w:rPr>
              <w:t>Public/ Unrestricted</w:t>
            </w:r>
          </w:p>
        </w:tc>
      </w:tr>
      <w:tr w:rsidR="00A342D0" w:rsidRPr="00A67AA6" w:rsidTr="00B8780A"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Classification</w:t>
            </w:r>
          </w:p>
        </w:tc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Description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Impact of unauthorised disclosure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Types of data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Appropriate IT facilities might include</w:t>
            </w:r>
          </w:p>
        </w:tc>
      </w:tr>
      <w:tr w:rsidR="00A342D0" w:rsidRPr="00A67AA6" w:rsidTr="00B8780A"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Public</w:t>
            </w:r>
          </w:p>
        </w:tc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Publicly available information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None: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No confidentiality issues, must still be accurate and protected from unauthorised change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Website/internet content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Marketing/publicity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Research activity details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Well-managed University and personally- owned PCs, mobile devices and removal media (external storage).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University email services.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lastRenderedPageBreak/>
              <w:t>- Appropriately- secured web servers.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 LAMP service. </w:t>
            </w:r>
          </w:p>
        </w:tc>
      </w:tr>
      <w:tr w:rsidR="00A342D0" w:rsidRPr="00A67AA6" w:rsidTr="00B8780A">
        <w:tc>
          <w:tcPr>
            <w:tcW w:w="2789" w:type="dxa"/>
            <w:tcBorders>
              <w:bottom w:val="nil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lastRenderedPageBreak/>
              <w:t>Unrestricted</w:t>
            </w:r>
          </w:p>
        </w:tc>
        <w:tc>
          <w:tcPr>
            <w:tcW w:w="2789" w:type="dxa"/>
            <w:tcBorders>
              <w:bottom w:val="nil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Information that is not in the public domain but would cause minimal harm should unauthorised disclosure occur. </w:t>
            </w:r>
          </w:p>
        </w:tc>
        <w:tc>
          <w:tcPr>
            <w:tcW w:w="2790" w:type="dxa"/>
            <w:tcBorders>
              <w:bottom w:val="nil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val="en-US" w:eastAsia="en-GB"/>
              </w:rPr>
              <w:t>Low: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No sensitive data.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No compliance restrictions. Disclosure might be inappropriate but of little significance.</w:t>
            </w:r>
          </w:p>
        </w:tc>
        <w:tc>
          <w:tcPr>
            <w:tcW w:w="2790" w:type="dxa"/>
            <w:tcBorders>
              <w:bottom w:val="nil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Internal correspondence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Data which would be released as part of Freedom of Information request.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Data which is not subject to legal, regulatory, commercial, contractual embargo.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Data not yet prepared for formal publication. Policies and procedures. </w:t>
            </w:r>
          </w:p>
        </w:tc>
        <w:tc>
          <w:tcPr>
            <w:tcW w:w="2790" w:type="dxa"/>
            <w:tcBorders>
              <w:bottom w:val="nil"/>
            </w:tcBorders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 Well-managed University and personally- owned PCs, mobile devices and removal media (external storage).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 - University email services, Appropriately- secured web servers,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LAMP service.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 xml:space="preserve">- Research R:drives,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lastRenderedPageBreak/>
              <w:t xml:space="preserve">- Alice (HPC),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-Specialist IT facilities (e.g. MRI).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- VPN from fully managed laptop</w:t>
            </w:r>
          </w:p>
        </w:tc>
      </w:tr>
    </w:tbl>
    <w:p w:rsidR="00A342D0" w:rsidRPr="00A342D0" w:rsidRDefault="00A342D0" w:rsidP="00A342D0">
      <w:pPr>
        <w:spacing w:after="36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A342D0" w:rsidRPr="00A67AA6" w:rsidRDefault="00A342D0" w:rsidP="00A342D0">
      <w:pPr>
        <w:spacing w:after="360" w:line="240" w:lineRule="auto"/>
        <w:rPr>
          <w:rFonts w:ascii="Arial" w:eastAsia="Times New Roman" w:hAnsi="Arial" w:cs="Arial"/>
          <w:b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342D0" w:rsidRPr="00A67AA6" w:rsidTr="008B0BD8">
        <w:tc>
          <w:tcPr>
            <w:tcW w:w="13948" w:type="dxa"/>
            <w:gridSpan w:val="5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Restricted</w:t>
            </w:r>
          </w:p>
        </w:tc>
      </w:tr>
      <w:tr w:rsidR="00A342D0" w:rsidRPr="00A67AA6" w:rsidTr="00B8780A"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Classification</w:t>
            </w:r>
          </w:p>
        </w:tc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Description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Impact of unauthorised disclosure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Types of data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Appropriate IT facilities might include</w:t>
            </w:r>
          </w:p>
        </w:tc>
      </w:tr>
      <w:tr w:rsidR="00A342D0" w:rsidRPr="00A67AA6" w:rsidTr="00B8780A">
        <w:trPr>
          <w:trHeight w:val="511"/>
        </w:trPr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Restricted</w:t>
            </w:r>
          </w:p>
        </w:tc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Information which could cause harm or distress, to individuals or the University should unauthorised disclosure occur.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Distress or embarrassment to small numbers of individuals.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 xml:space="preserve">- A degree of damage to the University’s reputation or operations.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Breach of legislation, regulation or contract with possibility of some financial penalty.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Potential to prevent specific current or future research activity.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- Data subject to legal, regulatory, contractual embargo (unless a higher degree of restriction is specified).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- Data with ethical/moral implications e.g. identifiable deceased data subjects.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 xml:space="preserve">- IT services for which the University has the </w:t>
            </w:r>
            <w:proofErr w:type="spellStart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CyberEssentials</w:t>
            </w:r>
            <w:proofErr w:type="spellEnd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 certification: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Fully- managed Windows 7/Linux </w:t>
            </w: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desktops (no local admin rights)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Fully- managed laptops if permitted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Enhanced security Research </w:t>
            </w:r>
            <w:proofErr w:type="spellStart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Filestore</w:t>
            </w:r>
            <w:proofErr w:type="spellEnd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 (</w:t>
            </w:r>
            <w:proofErr w:type="spellStart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R:drive</w:t>
            </w:r>
            <w:proofErr w:type="spellEnd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) - Enhanced security HPC (Alice)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</w:t>
            </w:r>
            <w:proofErr w:type="spellStart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Filedrop</w:t>
            </w:r>
            <w:proofErr w:type="spellEnd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Specialist IT facilities (e.g. MRI) with approved and agreed Standard Operating Procedure.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Appropriate University system e.g. Student Record System.</w:t>
            </w:r>
          </w:p>
        </w:tc>
      </w:tr>
    </w:tbl>
    <w:p w:rsidR="00A342D0" w:rsidRPr="00A67AA6" w:rsidRDefault="00A342D0" w:rsidP="00A342D0">
      <w:pPr>
        <w:spacing w:after="36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A342D0" w:rsidRPr="00A67AA6" w:rsidRDefault="00A342D0" w:rsidP="00A342D0">
      <w:pPr>
        <w:spacing w:after="360" w:line="240" w:lineRule="auto"/>
        <w:rPr>
          <w:rFonts w:ascii="Arial" w:eastAsia="Times New Roman" w:hAnsi="Arial" w:cs="Arial"/>
          <w:b/>
          <w:color w:val="333333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A342D0" w:rsidRPr="00A67AA6" w:rsidTr="007770B0">
        <w:tc>
          <w:tcPr>
            <w:tcW w:w="13948" w:type="dxa"/>
            <w:gridSpan w:val="5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333333"/>
                <w:lang w:eastAsia="en-GB"/>
              </w:rPr>
              <w:lastRenderedPageBreak/>
              <w:t>Highly Restricted</w:t>
            </w:r>
          </w:p>
        </w:tc>
      </w:tr>
      <w:tr w:rsidR="00A342D0" w:rsidRPr="00A67AA6" w:rsidTr="00B8780A"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Classification</w:t>
            </w:r>
          </w:p>
        </w:tc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Description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Impact of unauthorised disclosure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Types of data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Appropriate IT facilities might include</w:t>
            </w:r>
          </w:p>
        </w:tc>
      </w:tr>
      <w:tr w:rsidR="00A342D0" w:rsidRPr="00A67AA6" w:rsidTr="00B8780A"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b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b/>
                <w:color w:val="767171" w:themeColor="background2" w:themeShade="80"/>
                <w:lang w:eastAsia="en-GB"/>
              </w:rPr>
              <w:t>Highly Restricted</w:t>
            </w:r>
          </w:p>
        </w:tc>
        <w:tc>
          <w:tcPr>
            <w:tcW w:w="2789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val="en-US"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val="en-US" w:eastAsia="en-GB"/>
              </w:rPr>
              <w:t>Information which is likely to cause serious harm to individuals or the University should unauthorised disclosure occur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Risk to safety or well-being of individuals.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Significant distress to individuals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Substantial legal consequence to individuals or the University.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Substantial financial penalties.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- Substantial damage to University reputation or operations.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Institutional damage, may cause a wide block on research, funding, data sharing or collaboration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- Data which poses risk to personal safety.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Patient identifiable data.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Sensitive personal data (subject to DPIA).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Protected characteristics under Article 9 of GDPR.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Data subject to legal, regulatory, contractual restrictions. 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- Data subject to embargo for which highest degree of restriction is specified</w:t>
            </w:r>
          </w:p>
        </w:tc>
        <w:tc>
          <w:tcPr>
            <w:tcW w:w="2790" w:type="dxa"/>
          </w:tcPr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- Appropriate University system e.g. Student Records System, HR System, SAP.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Specific, access controlled folder within Departmental Shared Area (X: drive)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Enhanced Security Research </w:t>
            </w:r>
            <w:proofErr w:type="spellStart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Filestore</w:t>
            </w:r>
            <w:proofErr w:type="spellEnd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 (R: drive)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- </w:t>
            </w:r>
            <w:proofErr w:type="spellStart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CyberEssentials</w:t>
            </w:r>
            <w:proofErr w:type="spellEnd"/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 xml:space="preserve">+ Secure Compute and Storage Service for Research (contact IT </w:t>
            </w: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lastRenderedPageBreak/>
              <w:t>Business Partner for information)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  <w:r w:rsidRPr="00A67AA6">
              <w:rPr>
                <w:rFonts w:ascii="Arial" w:eastAsia="Times New Roman" w:hAnsi="Arial" w:cs="Arial"/>
                <w:color w:val="333333"/>
                <w:lang w:eastAsia="en-GB"/>
              </w:rPr>
              <w:t>- ISO27001 secure IT service coming soon.</w:t>
            </w:r>
          </w:p>
          <w:p w:rsidR="00A342D0" w:rsidRPr="00A67AA6" w:rsidRDefault="00A342D0" w:rsidP="00A342D0">
            <w:pPr>
              <w:spacing w:after="360"/>
              <w:rPr>
                <w:rFonts w:ascii="Arial" w:eastAsia="Times New Roman" w:hAnsi="Arial" w:cs="Arial"/>
                <w:color w:val="333333"/>
                <w:lang w:eastAsia="en-GB"/>
              </w:rPr>
            </w:pPr>
          </w:p>
        </w:tc>
      </w:tr>
    </w:tbl>
    <w:p w:rsidR="00A342D0" w:rsidRPr="00A67AA6" w:rsidRDefault="00A342D0" w:rsidP="00A342D0">
      <w:pPr>
        <w:spacing w:after="36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A342D0" w:rsidRPr="00A67AA6" w:rsidRDefault="00A342D0" w:rsidP="00A67AA6">
      <w:pPr>
        <w:spacing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A67AA6">
        <w:rPr>
          <w:rFonts w:ascii="Arial" w:eastAsia="Times New Roman" w:hAnsi="Arial" w:cs="Arial"/>
          <w:color w:val="333333"/>
          <w:lang w:eastAsia="en-GB"/>
        </w:rPr>
        <w:t>Note</w:t>
      </w:r>
      <w:r w:rsidR="00A67AA6">
        <w:rPr>
          <w:rFonts w:ascii="Arial" w:eastAsia="Times New Roman" w:hAnsi="Arial" w:cs="Arial"/>
          <w:color w:val="333333"/>
          <w:lang w:eastAsia="en-GB"/>
        </w:rPr>
        <w:t>s</w:t>
      </w:r>
      <w:r w:rsidRPr="00A67AA6">
        <w:rPr>
          <w:rFonts w:ascii="Arial" w:eastAsia="Times New Roman" w:hAnsi="Arial" w:cs="Arial"/>
          <w:color w:val="333333"/>
          <w:lang w:eastAsia="en-GB"/>
        </w:rPr>
        <w:t>:</w:t>
      </w:r>
    </w:p>
    <w:p w:rsidR="00A342D0" w:rsidRPr="00A67AA6" w:rsidRDefault="00A342D0" w:rsidP="00A67AA6">
      <w:pPr>
        <w:spacing w:after="120" w:line="240" w:lineRule="auto"/>
        <w:rPr>
          <w:rFonts w:ascii="Arial" w:eastAsia="Times New Roman" w:hAnsi="Arial" w:cs="Arial"/>
          <w:bCs/>
          <w:color w:val="333333"/>
          <w:lang w:val="en-US" w:eastAsia="en-GB"/>
        </w:rPr>
      </w:pPr>
      <w:r w:rsidRPr="00A67AA6">
        <w:rPr>
          <w:rFonts w:ascii="Arial" w:eastAsia="Times New Roman" w:hAnsi="Arial" w:cs="Arial"/>
          <w:bCs/>
          <w:color w:val="333333"/>
          <w:lang w:val="en-US" w:eastAsia="en-GB"/>
        </w:rPr>
        <w:t xml:space="preserve">If the PI still needs access to the R:drive remotely and their data is higher than ‘Unrestricted’, it is assessed on a case-by-case basis involving Information Assurance Services and RED. </w:t>
      </w:r>
    </w:p>
    <w:p w:rsidR="00A342D0" w:rsidRPr="00A67AA6" w:rsidRDefault="00A342D0" w:rsidP="00A67AA6">
      <w:pPr>
        <w:spacing w:after="120" w:line="240" w:lineRule="auto"/>
        <w:rPr>
          <w:rFonts w:ascii="Arial" w:eastAsia="Times New Roman" w:hAnsi="Arial" w:cs="Arial"/>
          <w:color w:val="333333"/>
          <w:lang w:eastAsia="en-GB"/>
        </w:rPr>
      </w:pPr>
    </w:p>
    <w:p w:rsidR="00A67AA6" w:rsidRDefault="00A342D0" w:rsidP="00A67AA6">
      <w:pPr>
        <w:spacing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A342D0">
        <w:rPr>
          <w:rFonts w:ascii="Arial" w:eastAsia="Times New Roman" w:hAnsi="Arial" w:cs="Arial"/>
          <w:color w:val="333333"/>
          <w:lang w:eastAsia="en-GB"/>
        </w:rPr>
        <w:t xml:space="preserve">For any data you need to process or otherwise use, </w:t>
      </w:r>
      <w:r w:rsidRPr="00A67AA6">
        <w:rPr>
          <w:rFonts w:ascii="Arial" w:eastAsia="Times New Roman" w:hAnsi="Arial" w:cs="Arial"/>
          <w:color w:val="333333"/>
          <w:lang w:eastAsia="en-GB"/>
        </w:rPr>
        <w:t xml:space="preserve">please also </w:t>
      </w:r>
      <w:r w:rsidRPr="00A342D0">
        <w:rPr>
          <w:rFonts w:ascii="Arial" w:eastAsia="Times New Roman" w:hAnsi="Arial" w:cs="Arial"/>
          <w:color w:val="333333"/>
          <w:lang w:eastAsia="en-GB"/>
        </w:rPr>
        <w:t>refer to the </w:t>
      </w:r>
      <w:r w:rsidRPr="00A67AA6">
        <w:rPr>
          <w:rFonts w:ascii="Arial" w:eastAsia="Times New Roman" w:hAnsi="Arial" w:cs="Arial"/>
          <w:color w:val="0070C0"/>
          <w:lang w:eastAsia="en-GB"/>
        </w:rPr>
        <w:t xml:space="preserve">Data Classification Guidance Notes </w:t>
      </w:r>
      <w:r w:rsidRPr="00A67AA6">
        <w:rPr>
          <w:rFonts w:ascii="Arial" w:eastAsia="Times New Roman" w:hAnsi="Arial" w:cs="Arial"/>
          <w:color w:val="333333"/>
          <w:lang w:eastAsia="en-GB"/>
        </w:rPr>
        <w:t xml:space="preserve">and </w:t>
      </w:r>
      <w:r w:rsidRPr="00A67AA6">
        <w:rPr>
          <w:rFonts w:ascii="Arial" w:eastAsia="Times New Roman" w:hAnsi="Arial" w:cs="Arial"/>
          <w:color w:val="0070C0"/>
          <w:lang w:eastAsia="en-GB"/>
        </w:rPr>
        <w:t>Diagram</w:t>
      </w:r>
      <w:r w:rsidRPr="00A67AA6">
        <w:rPr>
          <w:rFonts w:ascii="Arial" w:eastAsia="Times New Roman" w:hAnsi="Arial" w:cs="Arial"/>
          <w:color w:val="333333"/>
          <w:lang w:eastAsia="en-GB"/>
        </w:rPr>
        <w:t xml:space="preserve">. </w:t>
      </w:r>
    </w:p>
    <w:p w:rsidR="00A342D0" w:rsidRPr="00A342D0" w:rsidRDefault="00A342D0" w:rsidP="00A67AA6">
      <w:pPr>
        <w:spacing w:after="120" w:line="240" w:lineRule="auto"/>
        <w:rPr>
          <w:rFonts w:ascii="Arial" w:eastAsia="Times New Roman" w:hAnsi="Arial" w:cs="Arial"/>
          <w:color w:val="333333"/>
          <w:lang w:eastAsia="en-GB"/>
        </w:rPr>
      </w:pPr>
      <w:r w:rsidRPr="00A67AA6">
        <w:rPr>
          <w:rFonts w:ascii="Arial" w:eastAsia="Times New Roman" w:hAnsi="Arial" w:cs="Arial"/>
          <w:color w:val="333333"/>
          <w:lang w:eastAsia="en-GB"/>
        </w:rPr>
        <w:t>As</w:t>
      </w:r>
      <w:r w:rsidRPr="00A342D0">
        <w:rPr>
          <w:rFonts w:ascii="Arial" w:eastAsia="Times New Roman" w:hAnsi="Arial" w:cs="Arial"/>
          <w:color w:val="333333"/>
          <w:lang w:eastAsia="en-GB"/>
        </w:rPr>
        <w:t xml:space="preserve"> a rule of thumb, that anything not covered </w:t>
      </w:r>
      <w:r w:rsidR="00A67AA6" w:rsidRPr="00A67AA6">
        <w:rPr>
          <w:rFonts w:ascii="Arial" w:eastAsia="Times New Roman" w:hAnsi="Arial" w:cs="Arial"/>
          <w:color w:val="333333"/>
          <w:lang w:eastAsia="en-GB"/>
        </w:rPr>
        <w:t xml:space="preserve">in this document </w:t>
      </w:r>
      <w:r w:rsidRPr="00A342D0">
        <w:rPr>
          <w:rFonts w:ascii="Arial" w:eastAsia="Times New Roman" w:hAnsi="Arial" w:cs="Arial"/>
          <w:color w:val="333333"/>
          <w:lang w:eastAsia="en-GB"/>
        </w:rPr>
        <w:t xml:space="preserve">defaults to </w:t>
      </w:r>
      <w:r w:rsidR="00A67AA6">
        <w:rPr>
          <w:rFonts w:ascii="Arial" w:eastAsia="Times New Roman" w:hAnsi="Arial" w:cs="Arial"/>
          <w:color w:val="333333"/>
          <w:lang w:eastAsia="en-GB"/>
        </w:rPr>
        <w:t xml:space="preserve">highly restricted. </w:t>
      </w:r>
      <w:r w:rsidRPr="00A342D0">
        <w:rPr>
          <w:rFonts w:ascii="Arial" w:eastAsia="Times New Roman" w:hAnsi="Arial" w:cs="Arial"/>
          <w:color w:val="333333"/>
          <w:lang w:eastAsia="en-GB"/>
        </w:rPr>
        <w:t>.</w:t>
      </w:r>
    </w:p>
    <w:p w:rsidR="000D29B2" w:rsidRDefault="000D29B2"/>
    <w:sectPr w:rsidR="000D29B2" w:rsidSect="00A342D0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A6" w:rsidRDefault="00A67AA6" w:rsidP="00A67AA6">
      <w:pPr>
        <w:spacing w:after="0" w:line="240" w:lineRule="auto"/>
      </w:pPr>
      <w:r>
        <w:separator/>
      </w:r>
    </w:p>
  </w:endnote>
  <w:endnote w:type="continuationSeparator" w:id="0">
    <w:p w:rsidR="00A67AA6" w:rsidRDefault="00A67AA6" w:rsidP="00A6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A6" w:rsidRDefault="00A67AA6" w:rsidP="00A67AA6">
      <w:pPr>
        <w:spacing w:after="0" w:line="240" w:lineRule="auto"/>
      </w:pPr>
      <w:r>
        <w:separator/>
      </w:r>
    </w:p>
  </w:footnote>
  <w:footnote w:type="continuationSeparator" w:id="0">
    <w:p w:rsidR="00A67AA6" w:rsidRDefault="00A67AA6" w:rsidP="00A67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AA6" w:rsidRDefault="00A67AA6" w:rsidP="00A67AA6">
    <w:pPr>
      <w:spacing w:before="14"/>
      <w:ind w:left="20"/>
      <w:rPr>
        <w:rFonts w:ascii="Arial" w:hAnsi="Arial"/>
        <w:sz w:val="16"/>
      </w:rPr>
    </w:pPr>
    <w:r>
      <w:rPr>
        <w:rFonts w:ascii="Arial" w:hAnsi="Arial"/>
        <w:sz w:val="16"/>
      </w:rPr>
      <w:t>21/10/2020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>University data classification decision tree and model — University of Leicester</w:t>
    </w:r>
  </w:p>
  <w:p w:rsidR="00A67AA6" w:rsidRPr="00A67AA6" w:rsidRDefault="00A67AA6" w:rsidP="00A67A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5BBF"/>
    <w:multiLevelType w:val="multilevel"/>
    <w:tmpl w:val="0CF0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206B1A"/>
    <w:multiLevelType w:val="multilevel"/>
    <w:tmpl w:val="00A2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6863B9"/>
    <w:multiLevelType w:val="multilevel"/>
    <w:tmpl w:val="0A2CB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023ED0"/>
    <w:multiLevelType w:val="multilevel"/>
    <w:tmpl w:val="CC50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DE088F"/>
    <w:multiLevelType w:val="multilevel"/>
    <w:tmpl w:val="0526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D0"/>
    <w:rsid w:val="000D29B2"/>
    <w:rsid w:val="00A342D0"/>
    <w:rsid w:val="00A6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D002"/>
  <w15:chartTrackingRefBased/>
  <w15:docId w15:val="{D7CBB0EB-AD04-4BF8-8266-ECD48093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67AA6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Georgia" w:eastAsia="Georgia" w:hAnsi="Georgia" w:cs="Georgia"/>
      <w:b/>
      <w:bCs/>
      <w:sz w:val="30"/>
      <w:szCs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7A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7A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7A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7A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7A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7A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67AA6"/>
    <w:rPr>
      <w:rFonts w:ascii="Georgia" w:eastAsia="Georgia" w:hAnsi="Georgia" w:cs="Georgia"/>
      <w:b/>
      <w:bCs/>
      <w:sz w:val="30"/>
      <w:szCs w:val="3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6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AA6"/>
  </w:style>
  <w:style w:type="paragraph" w:styleId="Footer">
    <w:name w:val="footer"/>
    <w:basedOn w:val="Normal"/>
    <w:link w:val="FooterChar"/>
    <w:uiPriority w:val="99"/>
    <w:unhideWhenUsed/>
    <w:rsid w:val="00A67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AA6"/>
  </w:style>
  <w:style w:type="character" w:customStyle="1" w:styleId="Heading2Char">
    <w:name w:val="Heading 2 Char"/>
    <w:basedOn w:val="DefaultParagraphFont"/>
    <w:link w:val="Heading2"/>
    <w:uiPriority w:val="9"/>
    <w:rsid w:val="00A67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7A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7AA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67AA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67A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67A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67A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6099">
          <w:marLeft w:val="0"/>
          <w:marRight w:val="0"/>
          <w:marTop w:val="240"/>
          <w:marBottom w:val="240"/>
          <w:divBdr>
            <w:top w:val="single" w:sz="12" w:space="2" w:color="F9A291"/>
            <w:left w:val="single" w:sz="12" w:space="2" w:color="F9A291"/>
            <w:bottom w:val="single" w:sz="12" w:space="2" w:color="F9A291"/>
            <w:right w:val="single" w:sz="12" w:space="2" w:color="F9A291"/>
          </w:divBdr>
        </w:div>
      </w:divsChild>
    </w:div>
    <w:div w:id="859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216">
          <w:marLeft w:val="0"/>
          <w:marRight w:val="0"/>
          <w:marTop w:val="240"/>
          <w:marBottom w:val="240"/>
          <w:divBdr>
            <w:top w:val="single" w:sz="12" w:space="2" w:color="F9A291"/>
            <w:left w:val="single" w:sz="12" w:space="2" w:color="F9A291"/>
            <w:bottom w:val="single" w:sz="12" w:space="2" w:color="F9A291"/>
            <w:right w:val="single" w:sz="12" w:space="2" w:color="F9A29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Biddles, Faye J.</dc:creator>
  <cp:keywords/>
  <dc:description/>
  <cp:lastModifiedBy>Biddles, Faye J.</cp:lastModifiedBy>
  <cp:revision>1</cp:revision>
  <dcterms:created xsi:type="dcterms:W3CDTF">2020-10-20T21:57:00Z</dcterms:created>
  <dcterms:modified xsi:type="dcterms:W3CDTF">2020-10-20T22:18:00Z</dcterms:modified>
</cp:coreProperties>
</file>