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FA" w:rsidRDefault="00AB7FFA" w:rsidP="00AB7FFA">
      <w:pPr>
        <w:jc w:val="center"/>
      </w:pPr>
      <w:r>
        <w:rPr>
          <w:b/>
          <w:sz w:val="24"/>
          <w:szCs w:val="24"/>
          <w:u w:val="single"/>
        </w:rPr>
        <w:t xml:space="preserve">Task 1: Summary of professional </w:t>
      </w:r>
      <w:proofErr w:type="gramStart"/>
      <w:r>
        <w:rPr>
          <w:b/>
          <w:sz w:val="24"/>
          <w:szCs w:val="24"/>
          <w:u w:val="single"/>
        </w:rPr>
        <w:t>experience .</w:t>
      </w:r>
      <w:proofErr w:type="gramEnd"/>
    </w:p>
    <w:p w:rsidR="00AB7FFA" w:rsidRDefault="00AB7FFA" w:rsidP="00AB7FFA">
      <w:pPr>
        <w:pStyle w:val="Body"/>
        <w:rPr>
          <w:rFonts w:asciiTheme="minorHAnsi" w:hAnsiTheme="minorHAnsi"/>
        </w:rPr>
      </w:pPr>
      <w:r>
        <w:rPr>
          <w:rFonts w:asciiTheme="minorHAnsi" w:hAnsiTheme="minorHAnsi"/>
        </w:rPr>
        <w:t>Please provide a Curriculum Vitae (CV) using the following sub-headings and, in each case, starting with the most recent:</w:t>
      </w:r>
    </w:p>
    <w:p w:rsidR="00AB7FFA" w:rsidRDefault="00AB7FFA" w:rsidP="00AB7FFA">
      <w:pPr>
        <w:pStyle w:val="Body"/>
        <w:rPr>
          <w:rFonts w:asciiTheme="minorHAnsi" w:hAnsiTheme="minorHAnsi"/>
        </w:rPr>
      </w:pPr>
    </w:p>
    <w:p w:rsidR="00AB7FFA" w:rsidRDefault="00AB7FFA" w:rsidP="00AB7FFA">
      <w:pPr>
        <w:pStyle w:val="Body"/>
        <w:numPr>
          <w:ilvl w:val="0"/>
          <w:numId w:val="1"/>
        </w:numPr>
        <w:rPr>
          <w:rFonts w:asciiTheme="minorHAnsi" w:hAnsiTheme="minorHAnsi"/>
        </w:rPr>
      </w:pPr>
      <w:r>
        <w:rPr>
          <w:rFonts w:asciiTheme="minorHAnsi" w:hAnsiTheme="minorHAnsi"/>
        </w:rPr>
        <w:t>Personal Details (including contact details and any previous names)</w:t>
      </w:r>
    </w:p>
    <w:p w:rsidR="00AB7FFA" w:rsidRDefault="00AB7FFA" w:rsidP="00AB7FFA">
      <w:pPr>
        <w:pStyle w:val="Body"/>
        <w:rPr>
          <w:rFonts w:asciiTheme="minorHAnsi" w:hAnsiTheme="minorHAnsi"/>
        </w:rPr>
      </w:pPr>
    </w:p>
    <w:p w:rsidR="00AB7FFA" w:rsidRDefault="00AB7FFA" w:rsidP="00AB7FFA">
      <w:pPr>
        <w:pStyle w:val="Body"/>
        <w:numPr>
          <w:ilvl w:val="0"/>
          <w:numId w:val="1"/>
        </w:numPr>
        <w:rPr>
          <w:rFonts w:asciiTheme="minorHAnsi" w:hAnsiTheme="minorHAnsi"/>
        </w:rPr>
      </w:pPr>
      <w:r>
        <w:rPr>
          <w:rFonts w:asciiTheme="minorHAnsi" w:hAnsiTheme="minorHAnsi"/>
        </w:rPr>
        <w:t>Educational History (formal post-compulsory education) – award, dates and names of awarding institution</w:t>
      </w:r>
    </w:p>
    <w:p w:rsidR="00AB7FFA" w:rsidRDefault="00AB7FFA" w:rsidP="00AB7FFA">
      <w:pPr>
        <w:pStyle w:val="Body"/>
        <w:rPr>
          <w:rFonts w:asciiTheme="minorHAnsi" w:hAnsiTheme="minorHAnsi"/>
        </w:rPr>
      </w:pPr>
    </w:p>
    <w:p w:rsidR="00AB7FFA" w:rsidRDefault="00AB7FFA" w:rsidP="00AB7FFA">
      <w:pPr>
        <w:pStyle w:val="Body"/>
        <w:numPr>
          <w:ilvl w:val="0"/>
          <w:numId w:val="1"/>
        </w:numPr>
        <w:rPr>
          <w:rFonts w:asciiTheme="minorHAnsi" w:hAnsiTheme="minorHAnsi"/>
        </w:rPr>
      </w:pPr>
      <w:r>
        <w:rPr>
          <w:rFonts w:asciiTheme="minorHAnsi" w:hAnsiTheme="minorHAnsi"/>
        </w:rPr>
        <w:t>Employment History (which you think are relevant to this application) – roles, dates and names of employer/institution</w:t>
      </w:r>
    </w:p>
    <w:p w:rsidR="00AB7FFA" w:rsidRDefault="00AB7FFA" w:rsidP="00AB7FFA">
      <w:pPr>
        <w:pStyle w:val="Body"/>
        <w:rPr>
          <w:rFonts w:asciiTheme="minorHAnsi" w:hAnsiTheme="minorHAnsi"/>
        </w:rPr>
      </w:pPr>
    </w:p>
    <w:p w:rsidR="00AB7FFA" w:rsidRDefault="00AB7FFA" w:rsidP="00AB7FFA">
      <w:pPr>
        <w:pStyle w:val="Body"/>
        <w:numPr>
          <w:ilvl w:val="0"/>
          <w:numId w:val="1"/>
        </w:numPr>
        <w:rPr>
          <w:rFonts w:asciiTheme="minorHAnsi" w:hAnsiTheme="minorHAnsi"/>
        </w:rPr>
      </w:pPr>
      <w:r>
        <w:rPr>
          <w:rFonts w:asciiTheme="minorHAnsi" w:hAnsiTheme="minorHAnsi"/>
        </w:rPr>
        <w:t xml:space="preserve">Relevant Professional Experience and Activity (which you think are relevant to this application </w:t>
      </w:r>
      <w:proofErr w:type="spellStart"/>
      <w:r>
        <w:rPr>
          <w:rFonts w:asciiTheme="minorHAnsi" w:hAnsiTheme="minorHAnsi"/>
        </w:rPr>
        <w:t>eg</w:t>
      </w:r>
      <w:proofErr w:type="spellEnd"/>
      <w:r>
        <w:rPr>
          <w:rFonts w:asciiTheme="minorHAnsi" w:hAnsiTheme="minorHAnsi"/>
        </w:rPr>
        <w:t xml:space="preserve">. projects, events, courses </w:t>
      </w:r>
      <w:proofErr w:type="spellStart"/>
      <w:r>
        <w:rPr>
          <w:rFonts w:asciiTheme="minorHAnsi" w:hAnsiTheme="minorHAnsi"/>
        </w:rPr>
        <w:t>etc</w:t>
      </w:r>
      <w:proofErr w:type="spellEnd"/>
      <w:r>
        <w:rPr>
          <w:rFonts w:asciiTheme="minorHAnsi" w:hAnsiTheme="minorHAnsi"/>
        </w:rPr>
        <w:t>) – your role, dates and related provider or collaborator</w:t>
      </w:r>
    </w:p>
    <w:p w:rsidR="00AB7FFA" w:rsidRDefault="00AB7FFA" w:rsidP="00AB7FFA">
      <w:pPr>
        <w:pStyle w:val="Body"/>
        <w:rPr>
          <w:rFonts w:asciiTheme="minorHAnsi" w:hAnsiTheme="minorHAnsi"/>
        </w:rPr>
      </w:pPr>
    </w:p>
    <w:p w:rsidR="00AB7FFA" w:rsidRDefault="00AB7FFA" w:rsidP="00AB7FFA">
      <w:pPr>
        <w:pStyle w:val="Body"/>
        <w:rPr>
          <w:rFonts w:asciiTheme="minorHAnsi" w:hAnsiTheme="minorHAnsi"/>
          <w:i/>
        </w:rPr>
      </w:pPr>
      <w:r>
        <w:rPr>
          <w:rFonts w:asciiTheme="minorHAnsi" w:hAnsiTheme="minorHAnsi"/>
          <w:i/>
        </w:rPr>
        <w:t>We recommend you highlight any leadership-related CPD courses you have attended. For guidance, courses such as Inspiring Leaders, NPQML, Leadership Pathways and Leading from the Middle might help support an application for 30 credits. Courses such as NPQSL and NPQH are likely to help support an application for 60 credits.</w:t>
      </w:r>
    </w:p>
    <w:p w:rsidR="00AB7FFA" w:rsidRDefault="00AB7FFA" w:rsidP="00AB7FFA">
      <w:pPr>
        <w:rPr>
          <w:b/>
          <w:sz w:val="24"/>
          <w:szCs w:val="24"/>
          <w:u w:val="single"/>
        </w:rPr>
      </w:pPr>
      <w:r>
        <w:br/>
      </w:r>
    </w:p>
    <w:p w:rsidR="00AB7FFA" w:rsidRDefault="00AB7FFA" w:rsidP="00AB7FFA">
      <w:pPr>
        <w:rPr>
          <w:b/>
          <w:sz w:val="24"/>
          <w:szCs w:val="24"/>
          <w:u w:val="single"/>
        </w:rPr>
      </w:pPr>
      <w:r>
        <w:rPr>
          <w:b/>
          <w:sz w:val="24"/>
          <w:szCs w:val="24"/>
          <w:u w:val="single"/>
        </w:rPr>
        <w:br w:type="page"/>
      </w:r>
    </w:p>
    <w:p w:rsidR="00AB7FFA" w:rsidRDefault="00AB7FFA" w:rsidP="00AB7FFA">
      <w:pPr>
        <w:pStyle w:val="Body"/>
        <w:rPr>
          <w:rFonts w:asciiTheme="minorHAnsi" w:hAnsiTheme="minorHAnsi"/>
          <w:b/>
        </w:rPr>
      </w:pPr>
    </w:p>
    <w:p w:rsidR="00AB7FFA" w:rsidRDefault="00AB7FFA" w:rsidP="00AB7FFA">
      <w:pPr>
        <w:pStyle w:val="Body"/>
        <w:jc w:val="center"/>
        <w:rPr>
          <w:b/>
          <w:u w:val="single"/>
        </w:rPr>
      </w:pPr>
      <w:r>
        <w:rPr>
          <w:b/>
          <w:u w:val="single"/>
        </w:rPr>
        <w:t>Task 2: A detailed commentary of how your experience demonstrates achievement of the intended learning outcomes of the module for which exemption is sought</w:t>
      </w:r>
    </w:p>
    <w:p w:rsidR="00AB7FFA" w:rsidRDefault="00AB7FFA" w:rsidP="00AB7FFA">
      <w:pPr>
        <w:pStyle w:val="Body"/>
        <w:jc w:val="both"/>
        <w:rPr>
          <w:rFonts w:asciiTheme="minorHAnsi" w:hAnsiTheme="minorHAnsi"/>
          <w:b/>
        </w:rPr>
      </w:pPr>
    </w:p>
    <w:p w:rsidR="00AB7FFA" w:rsidRDefault="00AB7FFA" w:rsidP="00AB7FFA">
      <w:pPr>
        <w:pStyle w:val="Body"/>
        <w:jc w:val="both"/>
        <w:rPr>
          <w:rFonts w:asciiTheme="minorHAnsi" w:hAnsiTheme="minorHAnsi"/>
          <w:b/>
          <w:sz w:val="24"/>
          <w:szCs w:val="24"/>
        </w:rPr>
      </w:pPr>
    </w:p>
    <w:p w:rsidR="00AB7FFA" w:rsidRDefault="00AB7FFA" w:rsidP="00AB7FFA">
      <w:pPr>
        <w:pStyle w:val="Body"/>
        <w:rPr>
          <w:rFonts w:asciiTheme="minorHAnsi" w:hAnsiTheme="minorHAnsi"/>
          <w:b/>
          <w:sz w:val="24"/>
          <w:szCs w:val="24"/>
        </w:rPr>
      </w:pPr>
      <w:r>
        <w:rPr>
          <w:rFonts w:asciiTheme="minorHAnsi" w:hAnsiTheme="minorHAnsi"/>
          <w:b/>
          <w:sz w:val="24"/>
          <w:szCs w:val="24"/>
        </w:rPr>
        <w:t xml:space="preserve">Task 2a ELLC MSc Educational Leadership Module Educational Leadership, Learning and Change </w:t>
      </w:r>
    </w:p>
    <w:p w:rsidR="00AB7FFA" w:rsidRDefault="00AB7FFA" w:rsidP="00AB7FFA">
      <w:pPr>
        <w:pStyle w:val="Body"/>
        <w:rPr>
          <w:rFonts w:asciiTheme="minorHAnsi" w:hAnsiTheme="minorHAnsi"/>
          <w:b/>
          <w:bCs/>
        </w:rPr>
      </w:pPr>
    </w:p>
    <w:p w:rsidR="00AB7FFA" w:rsidRDefault="00AB7FFA" w:rsidP="00AB7FFA">
      <w:pPr>
        <w:pStyle w:val="Body"/>
        <w:rPr>
          <w:rFonts w:asciiTheme="minorHAnsi" w:hAnsiTheme="minorHAnsi"/>
          <w:b/>
          <w:bCs/>
        </w:rPr>
      </w:pPr>
      <w:r>
        <w:rPr>
          <w:rFonts w:asciiTheme="minorHAnsi" w:hAnsiTheme="minorHAnsi"/>
          <w:b/>
          <w:bCs/>
        </w:rPr>
        <w:t xml:space="preserve">Please demonstrate how you have met each Intended Learning Outcome by providing a commentary for each element of the table below. </w:t>
      </w:r>
    </w:p>
    <w:p w:rsidR="00AB7FFA" w:rsidRDefault="00AB7FFA" w:rsidP="00AB7FFA">
      <w:pPr>
        <w:pStyle w:val="Body"/>
        <w:jc w:val="both"/>
        <w:rPr>
          <w:rFonts w:asciiTheme="minorHAnsi" w:hAnsiTheme="minorHAnsi"/>
          <w:b/>
          <w:bCs/>
        </w:rPr>
      </w:pPr>
    </w:p>
    <w:tbl>
      <w:tblPr>
        <w:tblStyle w:val="TableGrid"/>
        <w:tblW w:w="0" w:type="auto"/>
        <w:tblInd w:w="0" w:type="dxa"/>
        <w:tblLook w:val="04A0" w:firstRow="1" w:lastRow="0" w:firstColumn="1" w:lastColumn="0" w:noHBand="0" w:noVBand="1"/>
      </w:tblPr>
      <w:tblGrid>
        <w:gridCol w:w="2376"/>
        <w:gridCol w:w="1560"/>
        <w:gridCol w:w="5306"/>
      </w:tblGrid>
      <w:tr w:rsidR="00AB7FFA" w:rsidTr="00AB7FFA">
        <w:tc>
          <w:tcPr>
            <w:tcW w:w="2376" w:type="dxa"/>
            <w:tcBorders>
              <w:top w:val="single" w:sz="4" w:space="0" w:color="auto"/>
              <w:left w:val="single" w:sz="4" w:space="0" w:color="auto"/>
              <w:bottom w:val="single" w:sz="4" w:space="0" w:color="auto"/>
              <w:right w:val="single" w:sz="4" w:space="0" w:color="auto"/>
            </w:tcBorders>
            <w:hideMark/>
          </w:tcPr>
          <w:p w:rsidR="00AB7FFA" w:rsidRDefault="00AB7FFA">
            <w:pPr>
              <w:pStyle w:val="Body"/>
              <w:jc w:val="both"/>
              <w:rPr>
                <w:rFonts w:asciiTheme="minorHAnsi" w:hAnsiTheme="minorHAnsi" w:cs="Arial"/>
                <w:b/>
                <w:bCs/>
              </w:rPr>
            </w:pPr>
            <w:r>
              <w:rPr>
                <w:rFonts w:asciiTheme="minorHAnsi" w:hAnsiTheme="minorHAnsi" w:cs="Arial"/>
                <w:b/>
                <w:bCs/>
              </w:rPr>
              <w:t>Intended Learning Outcome (ILO)</w:t>
            </w:r>
          </w:p>
        </w:tc>
        <w:tc>
          <w:tcPr>
            <w:tcW w:w="1560" w:type="dxa"/>
            <w:tcBorders>
              <w:top w:val="single" w:sz="4" w:space="0" w:color="auto"/>
              <w:left w:val="single" w:sz="4" w:space="0" w:color="auto"/>
              <w:bottom w:val="single" w:sz="4" w:space="0" w:color="auto"/>
              <w:right w:val="single" w:sz="4" w:space="0" w:color="auto"/>
            </w:tcBorders>
            <w:hideMark/>
          </w:tcPr>
          <w:p w:rsidR="00AB7FFA" w:rsidRDefault="00AB7FFA">
            <w:pPr>
              <w:pStyle w:val="Body"/>
              <w:rPr>
                <w:rFonts w:asciiTheme="minorHAnsi" w:hAnsiTheme="minorHAnsi" w:cs="Arial"/>
                <w:b/>
                <w:bCs/>
              </w:rPr>
            </w:pPr>
            <w:r>
              <w:rPr>
                <w:rFonts w:asciiTheme="minorHAnsi" w:hAnsiTheme="minorHAnsi" w:cs="Arial"/>
                <w:b/>
                <w:bCs/>
              </w:rPr>
              <w:t>Specific activity or course mapped back to document/CV from task 1.</w:t>
            </w:r>
          </w:p>
        </w:tc>
        <w:tc>
          <w:tcPr>
            <w:tcW w:w="5306" w:type="dxa"/>
            <w:tcBorders>
              <w:top w:val="single" w:sz="4" w:space="0" w:color="auto"/>
              <w:left w:val="single" w:sz="4" w:space="0" w:color="auto"/>
              <w:bottom w:val="single" w:sz="4" w:space="0" w:color="auto"/>
              <w:right w:val="single" w:sz="4" w:space="0" w:color="auto"/>
            </w:tcBorders>
            <w:hideMark/>
          </w:tcPr>
          <w:p w:rsidR="00AB7FFA" w:rsidRDefault="00AB7FFA">
            <w:pPr>
              <w:pStyle w:val="Body"/>
              <w:jc w:val="both"/>
              <w:rPr>
                <w:rFonts w:asciiTheme="minorHAnsi" w:hAnsiTheme="minorHAnsi" w:cs="Arial"/>
                <w:b/>
                <w:bCs/>
              </w:rPr>
            </w:pPr>
            <w:r>
              <w:rPr>
                <w:rFonts w:asciiTheme="minorHAnsi" w:hAnsiTheme="minorHAnsi" w:cs="Arial"/>
                <w:b/>
                <w:bCs/>
              </w:rPr>
              <w:t>What has been learnt in relation to each ILO (write 200-250 words for each entry)</w:t>
            </w:r>
          </w:p>
        </w:tc>
      </w:tr>
      <w:tr w:rsidR="00AB7FFA" w:rsidTr="00AB7FFA">
        <w:tc>
          <w:tcPr>
            <w:tcW w:w="2376" w:type="dxa"/>
            <w:tcBorders>
              <w:top w:val="single" w:sz="4" w:space="0" w:color="auto"/>
              <w:left w:val="single" w:sz="4" w:space="0" w:color="auto"/>
              <w:bottom w:val="single" w:sz="4" w:space="0" w:color="auto"/>
              <w:right w:val="single" w:sz="4" w:space="0" w:color="auto"/>
            </w:tcBorders>
            <w:hideMark/>
          </w:tcPr>
          <w:p w:rsidR="00AB7FFA" w:rsidRDefault="00AB7FFA">
            <w:pPr>
              <w:pStyle w:val="Body"/>
              <w:rPr>
                <w:rFonts w:asciiTheme="minorHAnsi" w:hAnsiTheme="minorHAnsi" w:cs="Arial"/>
                <w:b/>
                <w:bCs/>
              </w:rPr>
            </w:pPr>
            <w:r>
              <w:rPr>
                <w:rFonts w:asciiTheme="minorHAnsi" w:hAnsiTheme="minorHAnsi" w:cs="Arial"/>
              </w:rPr>
              <w:t xml:space="preserve">1. Compare and contrast different perspectives for understanding pupil, professional and organisational learning, and learning how to learn. </w:t>
            </w:r>
          </w:p>
        </w:tc>
        <w:tc>
          <w:tcPr>
            <w:tcW w:w="1560" w:type="dxa"/>
            <w:tcBorders>
              <w:top w:val="single" w:sz="4" w:space="0" w:color="auto"/>
              <w:left w:val="single" w:sz="4" w:space="0" w:color="auto"/>
              <w:bottom w:val="single" w:sz="4" w:space="0" w:color="auto"/>
              <w:right w:val="single" w:sz="4" w:space="0" w:color="auto"/>
            </w:tcBorders>
          </w:tcPr>
          <w:p w:rsidR="00AB7FFA" w:rsidRDefault="00AB7FFA">
            <w:pPr>
              <w:pStyle w:val="Body"/>
              <w:jc w:val="both"/>
              <w:rPr>
                <w:rFonts w:asciiTheme="minorHAnsi" w:hAnsiTheme="minorHAnsi" w:cs="Arial"/>
                <w:b/>
                <w:bCs/>
              </w:rPr>
            </w:pPr>
          </w:p>
        </w:tc>
        <w:tc>
          <w:tcPr>
            <w:tcW w:w="5306" w:type="dxa"/>
            <w:tcBorders>
              <w:top w:val="single" w:sz="4" w:space="0" w:color="auto"/>
              <w:left w:val="single" w:sz="4" w:space="0" w:color="auto"/>
              <w:bottom w:val="single" w:sz="4" w:space="0" w:color="auto"/>
              <w:right w:val="single" w:sz="4" w:space="0" w:color="auto"/>
            </w:tcBorders>
          </w:tcPr>
          <w:p w:rsidR="00AB7FFA" w:rsidRDefault="00AB7FFA">
            <w:pPr>
              <w:pStyle w:val="Body"/>
              <w:jc w:val="both"/>
              <w:rPr>
                <w:rFonts w:asciiTheme="minorHAnsi" w:hAnsiTheme="minorHAnsi" w:cs="Arial"/>
                <w:b/>
                <w:bCs/>
              </w:rPr>
            </w:pPr>
          </w:p>
        </w:tc>
      </w:tr>
      <w:tr w:rsidR="00AB7FFA" w:rsidTr="00AB7FFA">
        <w:tc>
          <w:tcPr>
            <w:tcW w:w="2376" w:type="dxa"/>
            <w:tcBorders>
              <w:top w:val="single" w:sz="4" w:space="0" w:color="auto"/>
              <w:left w:val="single" w:sz="4" w:space="0" w:color="auto"/>
              <w:bottom w:val="single" w:sz="4" w:space="0" w:color="auto"/>
              <w:right w:val="single" w:sz="4" w:space="0" w:color="auto"/>
            </w:tcBorders>
            <w:hideMark/>
          </w:tcPr>
          <w:p w:rsidR="00AB7FFA" w:rsidRDefault="00AB7FFA">
            <w:pPr>
              <w:pStyle w:val="Body"/>
              <w:rPr>
                <w:rFonts w:asciiTheme="minorHAnsi" w:hAnsiTheme="minorHAnsi" w:cs="Arial"/>
                <w:b/>
                <w:bCs/>
              </w:rPr>
            </w:pPr>
            <w:proofErr w:type="gramStart"/>
            <w:r>
              <w:rPr>
                <w:rFonts w:asciiTheme="minorHAnsi" w:hAnsiTheme="minorHAnsi" w:cs="Arial"/>
              </w:rPr>
              <w:t>2.Compare</w:t>
            </w:r>
            <w:proofErr w:type="gramEnd"/>
            <w:r>
              <w:rPr>
                <w:rFonts w:asciiTheme="minorHAnsi" w:hAnsiTheme="minorHAnsi" w:cs="Arial"/>
              </w:rPr>
              <w:t xml:space="preserve"> and contrast different  perspectives of educational leadership. </w:t>
            </w:r>
          </w:p>
        </w:tc>
        <w:tc>
          <w:tcPr>
            <w:tcW w:w="1560" w:type="dxa"/>
            <w:tcBorders>
              <w:top w:val="single" w:sz="4" w:space="0" w:color="auto"/>
              <w:left w:val="single" w:sz="4" w:space="0" w:color="auto"/>
              <w:bottom w:val="single" w:sz="4" w:space="0" w:color="auto"/>
              <w:right w:val="single" w:sz="4" w:space="0" w:color="auto"/>
            </w:tcBorders>
          </w:tcPr>
          <w:p w:rsidR="00AB7FFA" w:rsidRDefault="00AB7FFA">
            <w:pPr>
              <w:pStyle w:val="Body"/>
              <w:jc w:val="both"/>
              <w:rPr>
                <w:rFonts w:asciiTheme="minorHAnsi" w:hAnsiTheme="minorHAnsi" w:cs="Arial"/>
                <w:b/>
                <w:bCs/>
              </w:rPr>
            </w:pPr>
          </w:p>
        </w:tc>
        <w:tc>
          <w:tcPr>
            <w:tcW w:w="5306" w:type="dxa"/>
            <w:tcBorders>
              <w:top w:val="single" w:sz="4" w:space="0" w:color="auto"/>
              <w:left w:val="single" w:sz="4" w:space="0" w:color="auto"/>
              <w:bottom w:val="single" w:sz="4" w:space="0" w:color="auto"/>
              <w:right w:val="single" w:sz="4" w:space="0" w:color="auto"/>
            </w:tcBorders>
          </w:tcPr>
          <w:p w:rsidR="00AB7FFA" w:rsidRDefault="00AB7FFA">
            <w:pPr>
              <w:pStyle w:val="Body"/>
              <w:jc w:val="both"/>
              <w:rPr>
                <w:rFonts w:asciiTheme="minorHAnsi" w:hAnsiTheme="minorHAnsi" w:cs="Arial"/>
                <w:b/>
                <w:bCs/>
              </w:rPr>
            </w:pPr>
          </w:p>
        </w:tc>
      </w:tr>
      <w:tr w:rsidR="00AB7FFA" w:rsidTr="00AB7FFA">
        <w:tc>
          <w:tcPr>
            <w:tcW w:w="2376" w:type="dxa"/>
            <w:tcBorders>
              <w:top w:val="single" w:sz="4" w:space="0" w:color="auto"/>
              <w:left w:val="single" w:sz="4" w:space="0" w:color="auto"/>
              <w:bottom w:val="single" w:sz="4" w:space="0" w:color="auto"/>
              <w:right w:val="single" w:sz="4" w:space="0" w:color="auto"/>
            </w:tcBorders>
            <w:hideMark/>
          </w:tcPr>
          <w:p w:rsidR="00AB7FFA" w:rsidRDefault="00AB7FFA">
            <w:pPr>
              <w:pStyle w:val="Body"/>
              <w:rPr>
                <w:rFonts w:asciiTheme="minorHAnsi" w:hAnsiTheme="minorHAnsi" w:cs="Arial"/>
                <w:b/>
                <w:bCs/>
              </w:rPr>
            </w:pPr>
            <w:r>
              <w:rPr>
                <w:rFonts w:asciiTheme="minorHAnsi" w:hAnsiTheme="minorHAnsi" w:cs="Arial"/>
              </w:rPr>
              <w:t xml:space="preserve">3. Compare and contrast different perspectives of educational change. </w:t>
            </w:r>
          </w:p>
        </w:tc>
        <w:tc>
          <w:tcPr>
            <w:tcW w:w="1560" w:type="dxa"/>
            <w:tcBorders>
              <w:top w:val="single" w:sz="4" w:space="0" w:color="auto"/>
              <w:left w:val="single" w:sz="4" w:space="0" w:color="auto"/>
              <w:bottom w:val="single" w:sz="4" w:space="0" w:color="auto"/>
              <w:right w:val="single" w:sz="4" w:space="0" w:color="auto"/>
            </w:tcBorders>
          </w:tcPr>
          <w:p w:rsidR="00AB7FFA" w:rsidRDefault="00AB7FFA">
            <w:pPr>
              <w:pStyle w:val="Body"/>
              <w:jc w:val="both"/>
              <w:rPr>
                <w:rFonts w:asciiTheme="minorHAnsi" w:hAnsiTheme="minorHAnsi" w:cs="Arial"/>
                <w:b/>
                <w:bCs/>
              </w:rPr>
            </w:pPr>
          </w:p>
        </w:tc>
        <w:tc>
          <w:tcPr>
            <w:tcW w:w="5306" w:type="dxa"/>
            <w:tcBorders>
              <w:top w:val="single" w:sz="4" w:space="0" w:color="auto"/>
              <w:left w:val="single" w:sz="4" w:space="0" w:color="auto"/>
              <w:bottom w:val="single" w:sz="4" w:space="0" w:color="auto"/>
              <w:right w:val="single" w:sz="4" w:space="0" w:color="auto"/>
            </w:tcBorders>
          </w:tcPr>
          <w:p w:rsidR="00AB7FFA" w:rsidRDefault="00AB7FFA">
            <w:pPr>
              <w:pStyle w:val="Body"/>
              <w:jc w:val="both"/>
              <w:rPr>
                <w:rFonts w:asciiTheme="minorHAnsi" w:hAnsiTheme="minorHAnsi" w:cs="Arial"/>
                <w:b/>
                <w:bCs/>
              </w:rPr>
            </w:pPr>
          </w:p>
        </w:tc>
      </w:tr>
      <w:tr w:rsidR="00AB7FFA" w:rsidTr="00AB7FFA">
        <w:tc>
          <w:tcPr>
            <w:tcW w:w="2376" w:type="dxa"/>
            <w:tcBorders>
              <w:top w:val="single" w:sz="4" w:space="0" w:color="auto"/>
              <w:left w:val="single" w:sz="4" w:space="0" w:color="auto"/>
              <w:bottom w:val="single" w:sz="4" w:space="0" w:color="auto"/>
              <w:right w:val="single" w:sz="4" w:space="0" w:color="auto"/>
            </w:tcBorders>
            <w:hideMark/>
          </w:tcPr>
          <w:p w:rsidR="00AB7FFA" w:rsidRDefault="00AB7FFA">
            <w:pPr>
              <w:pStyle w:val="Body"/>
              <w:rPr>
                <w:rFonts w:asciiTheme="minorHAnsi" w:hAnsiTheme="minorHAnsi" w:cs="Arial"/>
                <w:b/>
                <w:bCs/>
              </w:rPr>
            </w:pPr>
            <w:r>
              <w:rPr>
                <w:rFonts w:asciiTheme="minorHAnsi" w:hAnsiTheme="minorHAnsi" w:cs="Arial"/>
              </w:rPr>
              <w:t xml:space="preserve">4. Compare and contrast different perspectives on educational leadership, learning and change and their inter-relationships. </w:t>
            </w:r>
          </w:p>
        </w:tc>
        <w:tc>
          <w:tcPr>
            <w:tcW w:w="1560" w:type="dxa"/>
            <w:tcBorders>
              <w:top w:val="single" w:sz="4" w:space="0" w:color="auto"/>
              <w:left w:val="single" w:sz="4" w:space="0" w:color="auto"/>
              <w:bottom w:val="single" w:sz="4" w:space="0" w:color="auto"/>
              <w:right w:val="single" w:sz="4" w:space="0" w:color="auto"/>
            </w:tcBorders>
          </w:tcPr>
          <w:p w:rsidR="00AB7FFA" w:rsidRDefault="00AB7FFA">
            <w:pPr>
              <w:pStyle w:val="Body"/>
              <w:jc w:val="both"/>
              <w:rPr>
                <w:rFonts w:asciiTheme="minorHAnsi" w:hAnsiTheme="minorHAnsi" w:cs="Arial"/>
                <w:b/>
                <w:bCs/>
              </w:rPr>
            </w:pPr>
          </w:p>
        </w:tc>
        <w:tc>
          <w:tcPr>
            <w:tcW w:w="5306" w:type="dxa"/>
            <w:tcBorders>
              <w:top w:val="single" w:sz="4" w:space="0" w:color="auto"/>
              <w:left w:val="single" w:sz="4" w:space="0" w:color="auto"/>
              <w:bottom w:val="single" w:sz="4" w:space="0" w:color="auto"/>
              <w:right w:val="single" w:sz="4" w:space="0" w:color="auto"/>
            </w:tcBorders>
          </w:tcPr>
          <w:p w:rsidR="00AB7FFA" w:rsidRDefault="00AB7FFA">
            <w:pPr>
              <w:pStyle w:val="Body"/>
              <w:jc w:val="both"/>
              <w:rPr>
                <w:rFonts w:asciiTheme="minorHAnsi" w:hAnsiTheme="minorHAnsi" w:cs="Arial"/>
                <w:b/>
                <w:bCs/>
              </w:rPr>
            </w:pPr>
          </w:p>
        </w:tc>
      </w:tr>
      <w:tr w:rsidR="00AB7FFA" w:rsidTr="00AB7FFA">
        <w:tc>
          <w:tcPr>
            <w:tcW w:w="2376" w:type="dxa"/>
            <w:tcBorders>
              <w:top w:val="single" w:sz="4" w:space="0" w:color="auto"/>
              <w:left w:val="single" w:sz="4" w:space="0" w:color="auto"/>
              <w:bottom w:val="single" w:sz="4" w:space="0" w:color="auto"/>
              <w:right w:val="single" w:sz="4" w:space="0" w:color="auto"/>
            </w:tcBorders>
            <w:hideMark/>
          </w:tcPr>
          <w:p w:rsidR="00AB7FFA" w:rsidRDefault="00AB7FFA">
            <w:pPr>
              <w:pStyle w:val="Body"/>
              <w:rPr>
                <w:rFonts w:asciiTheme="minorHAnsi" w:hAnsiTheme="minorHAnsi" w:cs="Arial"/>
                <w:bCs/>
              </w:rPr>
            </w:pPr>
            <w:r>
              <w:rPr>
                <w:rFonts w:asciiTheme="minorHAnsi" w:hAnsiTheme="minorHAnsi" w:cs="Arial"/>
                <w:bCs/>
              </w:rPr>
              <w:t>5. Understand the characteristics of good research questions</w:t>
            </w:r>
          </w:p>
        </w:tc>
        <w:tc>
          <w:tcPr>
            <w:tcW w:w="1560" w:type="dxa"/>
            <w:tcBorders>
              <w:top w:val="single" w:sz="4" w:space="0" w:color="auto"/>
              <w:left w:val="single" w:sz="4" w:space="0" w:color="auto"/>
              <w:bottom w:val="single" w:sz="4" w:space="0" w:color="auto"/>
              <w:right w:val="single" w:sz="4" w:space="0" w:color="auto"/>
            </w:tcBorders>
          </w:tcPr>
          <w:p w:rsidR="00AB7FFA" w:rsidRDefault="00AB7FFA">
            <w:pPr>
              <w:pStyle w:val="Body"/>
              <w:jc w:val="both"/>
              <w:rPr>
                <w:rFonts w:asciiTheme="minorHAnsi" w:hAnsiTheme="minorHAnsi" w:cs="Arial"/>
                <w:b/>
                <w:bCs/>
              </w:rPr>
            </w:pPr>
          </w:p>
        </w:tc>
        <w:tc>
          <w:tcPr>
            <w:tcW w:w="5306" w:type="dxa"/>
            <w:tcBorders>
              <w:top w:val="single" w:sz="4" w:space="0" w:color="auto"/>
              <w:left w:val="single" w:sz="4" w:space="0" w:color="auto"/>
              <w:bottom w:val="single" w:sz="4" w:space="0" w:color="auto"/>
              <w:right w:val="single" w:sz="4" w:space="0" w:color="auto"/>
            </w:tcBorders>
          </w:tcPr>
          <w:p w:rsidR="00AB7FFA" w:rsidRDefault="00AB7FFA">
            <w:pPr>
              <w:pStyle w:val="Body"/>
              <w:jc w:val="both"/>
              <w:rPr>
                <w:rFonts w:asciiTheme="minorHAnsi" w:hAnsiTheme="minorHAnsi" w:cs="Arial"/>
                <w:b/>
                <w:bCs/>
              </w:rPr>
            </w:pPr>
          </w:p>
        </w:tc>
      </w:tr>
    </w:tbl>
    <w:p w:rsidR="00AB7FFA" w:rsidRDefault="00AB7FFA" w:rsidP="00AB7FFA">
      <w:pPr>
        <w:pStyle w:val="Body"/>
        <w:jc w:val="both"/>
        <w:rPr>
          <w:rFonts w:asciiTheme="minorHAnsi" w:hAnsiTheme="minorHAnsi"/>
          <w:b/>
          <w:bCs/>
        </w:rPr>
      </w:pPr>
    </w:p>
    <w:p w:rsidR="00AB7FFA" w:rsidRDefault="00AB7FFA" w:rsidP="00AB7FFA">
      <w:pPr>
        <w:jc w:val="both"/>
        <w:rPr>
          <w:highlight w:val="yellow"/>
        </w:rPr>
      </w:pPr>
    </w:p>
    <w:p w:rsidR="00AB7FFA" w:rsidRDefault="00AB7FFA" w:rsidP="00AB7FFA">
      <w:pPr>
        <w:jc w:val="both"/>
        <w:rPr>
          <w:highlight w:val="yellow"/>
        </w:rPr>
      </w:pPr>
    </w:p>
    <w:p w:rsidR="00AB7FFA" w:rsidRDefault="00AB7FFA" w:rsidP="00AB7FFA">
      <w:pPr>
        <w:jc w:val="both"/>
        <w:rPr>
          <w:highlight w:val="yellow"/>
        </w:rPr>
      </w:pPr>
    </w:p>
    <w:p w:rsidR="00AB7FFA" w:rsidRDefault="00AB7FFA" w:rsidP="00AB7FFA">
      <w:pPr>
        <w:jc w:val="both"/>
        <w:rPr>
          <w:highlight w:val="yellow"/>
        </w:rPr>
      </w:pPr>
    </w:p>
    <w:p w:rsidR="00AB7FFA" w:rsidRDefault="00AB7FFA" w:rsidP="00AB7FFA">
      <w:pPr>
        <w:jc w:val="both"/>
        <w:rPr>
          <w:highlight w:val="yellow"/>
        </w:rPr>
      </w:pPr>
    </w:p>
    <w:p w:rsidR="00AB7FFA" w:rsidRDefault="00AB7FFA" w:rsidP="00AB7FFA">
      <w:pPr>
        <w:jc w:val="both"/>
        <w:rPr>
          <w:highlight w:val="yellow"/>
        </w:rPr>
      </w:pPr>
    </w:p>
    <w:p w:rsidR="00AB7FFA" w:rsidRDefault="00AB7FFA" w:rsidP="00AB7FFA">
      <w:pPr>
        <w:jc w:val="both"/>
        <w:rPr>
          <w:highlight w:val="yellow"/>
        </w:rPr>
      </w:pPr>
    </w:p>
    <w:p w:rsidR="00AB7FFA" w:rsidRDefault="00AB7FFA" w:rsidP="00AB7FFA">
      <w:pPr>
        <w:rPr>
          <w:rFonts w:eastAsia="Arial Unicode MS" w:cs="Arial Unicode MS"/>
          <w:b/>
          <w:color w:val="000000"/>
          <w:bdr w:val="none" w:sz="0" w:space="0" w:color="auto" w:frame="1"/>
          <w:lang w:eastAsia="en-GB"/>
        </w:rPr>
      </w:pPr>
      <w:r>
        <w:rPr>
          <w:b/>
        </w:rPr>
        <w:br w:type="page"/>
      </w:r>
    </w:p>
    <w:p w:rsidR="00AB7FFA" w:rsidRDefault="00AB7FFA" w:rsidP="00AB7FFA">
      <w:pPr>
        <w:pStyle w:val="Body"/>
        <w:rPr>
          <w:rFonts w:asciiTheme="minorHAnsi" w:hAnsiTheme="minorHAnsi"/>
          <w:b/>
          <w:sz w:val="24"/>
          <w:szCs w:val="24"/>
        </w:rPr>
      </w:pPr>
      <w:r>
        <w:rPr>
          <w:rFonts w:asciiTheme="minorHAnsi" w:hAnsiTheme="minorHAnsi"/>
          <w:b/>
          <w:sz w:val="24"/>
          <w:szCs w:val="24"/>
        </w:rPr>
        <w:lastRenderedPageBreak/>
        <w:t xml:space="preserve">Task 2b EIEL MSc Educational Leadership Module External Influences on </w:t>
      </w:r>
    </w:p>
    <w:p w:rsidR="00AB7FFA" w:rsidRDefault="00AB7FFA" w:rsidP="00AB7FFA">
      <w:pPr>
        <w:pStyle w:val="Body"/>
        <w:rPr>
          <w:rFonts w:asciiTheme="minorHAnsi" w:hAnsiTheme="minorHAnsi"/>
          <w:b/>
          <w:sz w:val="24"/>
          <w:szCs w:val="24"/>
        </w:rPr>
      </w:pPr>
      <w:r>
        <w:rPr>
          <w:rFonts w:asciiTheme="minorHAnsi" w:hAnsiTheme="minorHAnsi"/>
          <w:b/>
          <w:sz w:val="24"/>
          <w:szCs w:val="24"/>
        </w:rPr>
        <w:t>Educational Leadership Module</w:t>
      </w:r>
    </w:p>
    <w:p w:rsidR="00AB7FFA" w:rsidRDefault="00AB7FFA" w:rsidP="00AB7FFA">
      <w:pPr>
        <w:pStyle w:val="Body"/>
        <w:rPr>
          <w:rFonts w:asciiTheme="minorHAnsi" w:hAnsiTheme="minorHAnsi"/>
          <w:b/>
        </w:rPr>
      </w:pPr>
    </w:p>
    <w:p w:rsidR="00AB7FFA" w:rsidRDefault="00AB7FFA" w:rsidP="00AB7FFA">
      <w:pPr>
        <w:pStyle w:val="Body"/>
        <w:rPr>
          <w:rFonts w:asciiTheme="minorHAnsi" w:hAnsiTheme="minorHAnsi"/>
          <w:b/>
        </w:rPr>
      </w:pPr>
      <w:r>
        <w:rPr>
          <w:rFonts w:asciiTheme="minorHAnsi" w:hAnsiTheme="minorHAnsi"/>
          <w:b/>
        </w:rPr>
        <w:t>Please demonstrate how you have met each Intended Learning Outcome by providing a commentary for each element of the table below.</w:t>
      </w:r>
    </w:p>
    <w:p w:rsidR="00AB7FFA" w:rsidRDefault="00AB7FFA" w:rsidP="00AB7FFA">
      <w:pPr>
        <w:pStyle w:val="Body"/>
        <w:jc w:val="both"/>
        <w:rPr>
          <w:rFonts w:asciiTheme="minorHAnsi" w:hAnsiTheme="minorHAnsi"/>
          <w:b/>
          <w:bCs/>
        </w:rPr>
      </w:pPr>
    </w:p>
    <w:tbl>
      <w:tblPr>
        <w:tblStyle w:val="TableGrid"/>
        <w:tblW w:w="0" w:type="auto"/>
        <w:tblInd w:w="0" w:type="dxa"/>
        <w:tblLayout w:type="fixed"/>
        <w:tblLook w:val="04A0" w:firstRow="1" w:lastRow="0" w:firstColumn="1" w:lastColumn="0" w:noHBand="0" w:noVBand="1"/>
      </w:tblPr>
      <w:tblGrid>
        <w:gridCol w:w="2376"/>
        <w:gridCol w:w="1560"/>
        <w:gridCol w:w="5306"/>
      </w:tblGrid>
      <w:tr w:rsidR="00AB7FFA" w:rsidTr="00AB7FFA">
        <w:tc>
          <w:tcPr>
            <w:tcW w:w="2376" w:type="dxa"/>
            <w:tcBorders>
              <w:top w:val="single" w:sz="4" w:space="0" w:color="auto"/>
              <w:left w:val="single" w:sz="4" w:space="0" w:color="auto"/>
              <w:bottom w:val="single" w:sz="4" w:space="0" w:color="auto"/>
              <w:right w:val="single" w:sz="4" w:space="0" w:color="auto"/>
            </w:tcBorders>
            <w:hideMark/>
          </w:tcPr>
          <w:p w:rsidR="00AB7FFA" w:rsidRDefault="00AB7FFA">
            <w:pPr>
              <w:pStyle w:val="Body"/>
              <w:jc w:val="both"/>
              <w:rPr>
                <w:rFonts w:asciiTheme="minorHAnsi" w:hAnsiTheme="minorHAnsi" w:cs="Arial"/>
                <w:b/>
                <w:bCs/>
              </w:rPr>
            </w:pPr>
            <w:r>
              <w:rPr>
                <w:rFonts w:asciiTheme="minorHAnsi" w:hAnsiTheme="minorHAnsi" w:cs="Arial"/>
                <w:b/>
                <w:bCs/>
              </w:rPr>
              <w:t>Intended Learning Outcome (LO)</w:t>
            </w:r>
          </w:p>
        </w:tc>
        <w:tc>
          <w:tcPr>
            <w:tcW w:w="1560" w:type="dxa"/>
            <w:tcBorders>
              <w:top w:val="single" w:sz="4" w:space="0" w:color="auto"/>
              <w:left w:val="single" w:sz="4" w:space="0" w:color="auto"/>
              <w:bottom w:val="single" w:sz="4" w:space="0" w:color="auto"/>
              <w:right w:val="single" w:sz="4" w:space="0" w:color="auto"/>
            </w:tcBorders>
            <w:hideMark/>
          </w:tcPr>
          <w:p w:rsidR="00AB7FFA" w:rsidRDefault="00AB7FFA">
            <w:pPr>
              <w:pStyle w:val="Body"/>
              <w:jc w:val="both"/>
              <w:rPr>
                <w:rFonts w:asciiTheme="minorHAnsi" w:hAnsiTheme="minorHAnsi" w:cs="Arial"/>
                <w:b/>
                <w:bCs/>
              </w:rPr>
            </w:pPr>
            <w:r>
              <w:rPr>
                <w:rFonts w:asciiTheme="minorHAnsi" w:hAnsiTheme="minorHAnsi" w:cs="Arial"/>
                <w:b/>
                <w:bCs/>
              </w:rPr>
              <w:t>Specific activity or course mapped back to document/CV from task 1</w:t>
            </w:r>
          </w:p>
        </w:tc>
        <w:tc>
          <w:tcPr>
            <w:tcW w:w="5306" w:type="dxa"/>
            <w:tcBorders>
              <w:top w:val="single" w:sz="4" w:space="0" w:color="auto"/>
              <w:left w:val="single" w:sz="4" w:space="0" w:color="auto"/>
              <w:bottom w:val="single" w:sz="4" w:space="0" w:color="auto"/>
              <w:right w:val="single" w:sz="4" w:space="0" w:color="auto"/>
            </w:tcBorders>
            <w:hideMark/>
          </w:tcPr>
          <w:p w:rsidR="00AB7FFA" w:rsidRDefault="00AB7FFA">
            <w:pPr>
              <w:pStyle w:val="Body"/>
              <w:jc w:val="both"/>
              <w:rPr>
                <w:rFonts w:asciiTheme="minorHAnsi" w:hAnsiTheme="minorHAnsi" w:cs="Arial"/>
                <w:b/>
                <w:bCs/>
              </w:rPr>
            </w:pPr>
            <w:r>
              <w:rPr>
                <w:rFonts w:asciiTheme="minorHAnsi" w:hAnsiTheme="minorHAnsi" w:cs="Arial"/>
                <w:b/>
                <w:bCs/>
              </w:rPr>
              <w:t>What has been learnt in relation to each ILO (write 200-250 words for each entry)</w:t>
            </w:r>
          </w:p>
        </w:tc>
      </w:tr>
      <w:tr w:rsidR="00AB7FFA" w:rsidTr="00AB7FFA">
        <w:tc>
          <w:tcPr>
            <w:tcW w:w="2376" w:type="dxa"/>
            <w:tcBorders>
              <w:top w:val="single" w:sz="4" w:space="0" w:color="auto"/>
              <w:left w:val="single" w:sz="4" w:space="0" w:color="auto"/>
              <w:bottom w:val="single" w:sz="4" w:space="0" w:color="auto"/>
              <w:right w:val="single" w:sz="4" w:space="0" w:color="auto"/>
            </w:tcBorders>
          </w:tcPr>
          <w:p w:rsidR="00AB7FFA" w:rsidRDefault="00AB7FFA">
            <w:pPr>
              <w:spacing w:after="0" w:line="240" w:lineRule="auto"/>
              <w:rPr>
                <w:rFonts w:asciiTheme="minorHAnsi" w:hAnsiTheme="minorHAnsi" w:cs="Arial"/>
                <w:sz w:val="18"/>
                <w:szCs w:val="18"/>
                <w:bdr w:val="none" w:sz="0" w:space="0" w:color="auto" w:frame="1"/>
                <w:lang w:eastAsia="en-GB"/>
              </w:rPr>
            </w:pPr>
          </w:p>
          <w:p w:rsidR="00AB7FFA" w:rsidRDefault="00AB7FFA">
            <w:pPr>
              <w:spacing w:after="0" w:line="240" w:lineRule="auto"/>
              <w:rPr>
                <w:rFonts w:asciiTheme="minorHAnsi" w:hAnsiTheme="minorHAnsi" w:cs="Arial"/>
                <w:b/>
                <w:bCs/>
                <w:bdr w:val="none" w:sz="0" w:space="0" w:color="auto" w:frame="1"/>
                <w:lang w:eastAsia="en-GB"/>
              </w:rPr>
            </w:pPr>
            <w:r>
              <w:rPr>
                <w:rFonts w:asciiTheme="minorHAnsi" w:hAnsiTheme="minorHAnsi" w:cs="Arial"/>
                <w:noProof/>
                <w:sz w:val="18"/>
                <w:szCs w:val="18"/>
                <w:bdr w:val="none" w:sz="0" w:space="0" w:color="auto" w:frame="1"/>
                <w:lang w:eastAsia="en-GB"/>
              </w:rPr>
              <w:t xml:space="preserve">1. Compare and contrast different  perspectives of external influences on educational leadership.  </w:t>
            </w:r>
          </w:p>
        </w:tc>
        <w:tc>
          <w:tcPr>
            <w:tcW w:w="1560" w:type="dxa"/>
            <w:tcBorders>
              <w:top w:val="single" w:sz="4" w:space="0" w:color="auto"/>
              <w:left w:val="single" w:sz="4" w:space="0" w:color="auto"/>
              <w:bottom w:val="single" w:sz="4" w:space="0" w:color="auto"/>
              <w:right w:val="single" w:sz="4" w:space="0" w:color="auto"/>
            </w:tcBorders>
          </w:tcPr>
          <w:p w:rsidR="00AB7FFA" w:rsidRDefault="00AB7FFA">
            <w:pPr>
              <w:pStyle w:val="Body"/>
              <w:jc w:val="both"/>
              <w:rPr>
                <w:rFonts w:asciiTheme="minorHAnsi" w:hAnsiTheme="minorHAnsi" w:cs="Arial"/>
                <w:b/>
                <w:bCs/>
              </w:rPr>
            </w:pPr>
          </w:p>
        </w:tc>
        <w:tc>
          <w:tcPr>
            <w:tcW w:w="5306" w:type="dxa"/>
            <w:tcBorders>
              <w:top w:val="single" w:sz="4" w:space="0" w:color="auto"/>
              <w:left w:val="single" w:sz="4" w:space="0" w:color="auto"/>
              <w:bottom w:val="single" w:sz="4" w:space="0" w:color="auto"/>
              <w:right w:val="single" w:sz="4" w:space="0" w:color="auto"/>
            </w:tcBorders>
          </w:tcPr>
          <w:p w:rsidR="00AB7FFA" w:rsidRDefault="00AB7FFA">
            <w:pPr>
              <w:pStyle w:val="Body"/>
              <w:jc w:val="both"/>
              <w:rPr>
                <w:rFonts w:asciiTheme="minorHAnsi" w:hAnsiTheme="minorHAnsi" w:cs="Arial"/>
                <w:b/>
                <w:bCs/>
              </w:rPr>
            </w:pPr>
          </w:p>
        </w:tc>
      </w:tr>
      <w:tr w:rsidR="00AB7FFA" w:rsidTr="00AB7FFA">
        <w:tc>
          <w:tcPr>
            <w:tcW w:w="2376" w:type="dxa"/>
            <w:tcBorders>
              <w:top w:val="single" w:sz="4" w:space="0" w:color="auto"/>
              <w:left w:val="single" w:sz="4" w:space="0" w:color="auto"/>
              <w:bottom w:val="single" w:sz="4" w:space="0" w:color="auto"/>
              <w:right w:val="single" w:sz="4" w:space="0" w:color="auto"/>
            </w:tcBorders>
            <w:hideMark/>
          </w:tcPr>
          <w:p w:rsidR="00AB7FFA" w:rsidRDefault="00AB7FFA">
            <w:pPr>
              <w:spacing w:after="0" w:line="240" w:lineRule="auto"/>
              <w:rPr>
                <w:rFonts w:asciiTheme="minorHAnsi" w:hAnsiTheme="minorHAnsi" w:cs="Arial"/>
                <w:noProof/>
                <w:sz w:val="18"/>
                <w:szCs w:val="18"/>
                <w:bdr w:val="none" w:sz="0" w:space="0" w:color="auto" w:frame="1"/>
                <w:lang w:eastAsia="en-GB"/>
              </w:rPr>
            </w:pPr>
            <w:r>
              <w:rPr>
                <w:rFonts w:asciiTheme="minorHAnsi" w:hAnsiTheme="minorHAnsi" w:cs="Arial"/>
                <w:noProof/>
                <w:sz w:val="18"/>
                <w:szCs w:val="18"/>
                <w:bdr w:val="none" w:sz="0" w:space="0" w:color="auto" w:frame="1"/>
                <w:lang w:eastAsia="en-GB"/>
              </w:rPr>
              <w:t xml:space="preserve">2. Compare and contrast how policy impacts what you can and cannot do in your professional practice. </w:t>
            </w:r>
          </w:p>
        </w:tc>
        <w:tc>
          <w:tcPr>
            <w:tcW w:w="1560" w:type="dxa"/>
            <w:tcBorders>
              <w:top w:val="single" w:sz="4" w:space="0" w:color="auto"/>
              <w:left w:val="single" w:sz="4" w:space="0" w:color="auto"/>
              <w:bottom w:val="single" w:sz="4" w:space="0" w:color="auto"/>
              <w:right w:val="single" w:sz="4" w:space="0" w:color="auto"/>
            </w:tcBorders>
          </w:tcPr>
          <w:p w:rsidR="00AB7FFA" w:rsidRDefault="00AB7FFA">
            <w:pPr>
              <w:pStyle w:val="Body"/>
              <w:jc w:val="both"/>
              <w:rPr>
                <w:rFonts w:asciiTheme="minorHAnsi" w:hAnsiTheme="minorHAnsi" w:cs="Arial"/>
                <w:b/>
                <w:bCs/>
              </w:rPr>
            </w:pPr>
          </w:p>
        </w:tc>
        <w:tc>
          <w:tcPr>
            <w:tcW w:w="5306" w:type="dxa"/>
            <w:tcBorders>
              <w:top w:val="single" w:sz="4" w:space="0" w:color="auto"/>
              <w:left w:val="single" w:sz="4" w:space="0" w:color="auto"/>
              <w:bottom w:val="single" w:sz="4" w:space="0" w:color="auto"/>
              <w:right w:val="single" w:sz="4" w:space="0" w:color="auto"/>
            </w:tcBorders>
          </w:tcPr>
          <w:p w:rsidR="00AB7FFA" w:rsidRDefault="00AB7FFA">
            <w:pPr>
              <w:pStyle w:val="Body"/>
              <w:jc w:val="both"/>
              <w:rPr>
                <w:rFonts w:asciiTheme="minorHAnsi" w:hAnsiTheme="minorHAnsi" w:cs="Arial"/>
                <w:b/>
                <w:bCs/>
              </w:rPr>
            </w:pPr>
          </w:p>
        </w:tc>
      </w:tr>
      <w:tr w:rsidR="00AB7FFA" w:rsidTr="00AB7FFA">
        <w:tc>
          <w:tcPr>
            <w:tcW w:w="2376" w:type="dxa"/>
            <w:tcBorders>
              <w:top w:val="single" w:sz="4" w:space="0" w:color="auto"/>
              <w:left w:val="single" w:sz="4" w:space="0" w:color="auto"/>
              <w:bottom w:val="single" w:sz="4" w:space="0" w:color="auto"/>
              <w:right w:val="single" w:sz="4" w:space="0" w:color="auto"/>
            </w:tcBorders>
          </w:tcPr>
          <w:p w:rsidR="00AB7FFA" w:rsidRDefault="00AB7FFA">
            <w:pPr>
              <w:spacing w:after="0" w:line="240" w:lineRule="auto"/>
              <w:rPr>
                <w:rFonts w:asciiTheme="minorHAnsi" w:hAnsiTheme="minorHAnsi" w:cs="Arial"/>
                <w:noProof/>
                <w:sz w:val="18"/>
                <w:szCs w:val="18"/>
                <w:bdr w:val="none" w:sz="0" w:space="0" w:color="auto" w:frame="1"/>
                <w:lang w:eastAsia="en-GB"/>
              </w:rPr>
            </w:pPr>
            <w:r>
              <w:rPr>
                <w:rFonts w:asciiTheme="minorHAnsi" w:hAnsiTheme="minorHAnsi" w:cs="Arial"/>
                <w:noProof/>
                <w:sz w:val="18"/>
                <w:szCs w:val="18"/>
                <w:bdr w:val="none" w:sz="0" w:space="0" w:color="auto" w:frame="1"/>
                <w:lang w:eastAsia="en-GB"/>
              </w:rPr>
              <w:t>3. Compare and contrast different perspectives of the development of policy and professional practice.</w:t>
            </w:r>
          </w:p>
          <w:p w:rsidR="00AB7FFA" w:rsidRDefault="00AB7FFA">
            <w:pPr>
              <w:pStyle w:val="Body"/>
              <w:rPr>
                <w:rFonts w:asciiTheme="minorHAnsi" w:hAnsiTheme="minorHAnsi" w:cs="Arial"/>
                <w:b/>
                <w:bCs/>
              </w:rPr>
            </w:pPr>
          </w:p>
        </w:tc>
        <w:tc>
          <w:tcPr>
            <w:tcW w:w="1560" w:type="dxa"/>
            <w:tcBorders>
              <w:top w:val="single" w:sz="4" w:space="0" w:color="auto"/>
              <w:left w:val="single" w:sz="4" w:space="0" w:color="auto"/>
              <w:bottom w:val="single" w:sz="4" w:space="0" w:color="auto"/>
              <w:right w:val="single" w:sz="4" w:space="0" w:color="auto"/>
            </w:tcBorders>
          </w:tcPr>
          <w:p w:rsidR="00AB7FFA" w:rsidRDefault="00AB7FFA">
            <w:pPr>
              <w:pStyle w:val="Body"/>
              <w:jc w:val="both"/>
              <w:rPr>
                <w:rFonts w:asciiTheme="minorHAnsi" w:hAnsiTheme="minorHAnsi" w:cs="Arial"/>
                <w:b/>
                <w:bCs/>
              </w:rPr>
            </w:pPr>
          </w:p>
        </w:tc>
        <w:tc>
          <w:tcPr>
            <w:tcW w:w="5306" w:type="dxa"/>
            <w:tcBorders>
              <w:top w:val="single" w:sz="4" w:space="0" w:color="auto"/>
              <w:left w:val="single" w:sz="4" w:space="0" w:color="auto"/>
              <w:bottom w:val="single" w:sz="4" w:space="0" w:color="auto"/>
              <w:right w:val="single" w:sz="4" w:space="0" w:color="auto"/>
            </w:tcBorders>
          </w:tcPr>
          <w:p w:rsidR="00AB7FFA" w:rsidRDefault="00AB7FFA">
            <w:pPr>
              <w:pStyle w:val="Body"/>
              <w:jc w:val="both"/>
              <w:rPr>
                <w:rFonts w:asciiTheme="minorHAnsi" w:hAnsiTheme="minorHAnsi" w:cs="Arial"/>
                <w:b/>
                <w:bCs/>
              </w:rPr>
            </w:pPr>
          </w:p>
        </w:tc>
      </w:tr>
      <w:tr w:rsidR="00AB7FFA" w:rsidTr="00AB7FFA">
        <w:tc>
          <w:tcPr>
            <w:tcW w:w="2376" w:type="dxa"/>
            <w:tcBorders>
              <w:top w:val="single" w:sz="4" w:space="0" w:color="auto"/>
              <w:left w:val="single" w:sz="4" w:space="0" w:color="auto"/>
              <w:bottom w:val="single" w:sz="4" w:space="0" w:color="auto"/>
              <w:right w:val="single" w:sz="4" w:space="0" w:color="auto"/>
            </w:tcBorders>
          </w:tcPr>
          <w:p w:rsidR="00AB7FFA" w:rsidRDefault="00AB7FFA">
            <w:pPr>
              <w:spacing w:after="0" w:line="240" w:lineRule="auto"/>
              <w:rPr>
                <w:rFonts w:asciiTheme="minorHAnsi" w:hAnsiTheme="minorHAnsi"/>
                <w:bdr w:val="none" w:sz="0" w:space="0" w:color="auto" w:frame="1"/>
                <w:lang w:eastAsia="en-GB"/>
              </w:rPr>
            </w:pPr>
            <w:r>
              <w:rPr>
                <w:rFonts w:asciiTheme="minorHAnsi" w:hAnsiTheme="minorHAnsi" w:cs="Arial"/>
                <w:noProof/>
                <w:sz w:val="18"/>
                <w:szCs w:val="18"/>
                <w:bdr w:val="none" w:sz="0" w:space="0" w:color="auto" w:frame="1"/>
                <w:lang w:eastAsia="en-GB"/>
              </w:rPr>
              <w:t>4. Develop an ethical framework for researching external influences on educational leadership.</w:t>
            </w:r>
          </w:p>
          <w:p w:rsidR="00AB7FFA" w:rsidRDefault="00AB7FFA">
            <w:pPr>
              <w:spacing w:after="0" w:line="240" w:lineRule="auto"/>
              <w:rPr>
                <w:rFonts w:asciiTheme="minorHAnsi" w:hAnsiTheme="minorHAnsi" w:cs="Arial"/>
                <w:noProof/>
                <w:sz w:val="18"/>
                <w:szCs w:val="18"/>
                <w:bdr w:val="none" w:sz="0" w:space="0" w:color="auto" w:frame="1"/>
                <w:lang w:eastAsia="en-GB"/>
              </w:rPr>
            </w:pPr>
          </w:p>
          <w:p w:rsidR="00AB7FFA" w:rsidRDefault="00AB7FFA">
            <w:pPr>
              <w:pStyle w:val="Body"/>
              <w:rPr>
                <w:rFonts w:asciiTheme="minorHAnsi" w:hAnsiTheme="minorHAnsi" w:cs="Arial"/>
                <w:b/>
                <w:bCs/>
              </w:rPr>
            </w:pPr>
          </w:p>
        </w:tc>
        <w:tc>
          <w:tcPr>
            <w:tcW w:w="1560" w:type="dxa"/>
            <w:tcBorders>
              <w:top w:val="single" w:sz="4" w:space="0" w:color="auto"/>
              <w:left w:val="single" w:sz="4" w:space="0" w:color="auto"/>
              <w:bottom w:val="single" w:sz="4" w:space="0" w:color="auto"/>
              <w:right w:val="single" w:sz="4" w:space="0" w:color="auto"/>
            </w:tcBorders>
          </w:tcPr>
          <w:p w:rsidR="00AB7FFA" w:rsidRDefault="00AB7FFA">
            <w:pPr>
              <w:pStyle w:val="Body"/>
              <w:jc w:val="both"/>
              <w:rPr>
                <w:rFonts w:asciiTheme="minorHAnsi" w:hAnsiTheme="minorHAnsi" w:cs="Arial"/>
                <w:b/>
                <w:bCs/>
              </w:rPr>
            </w:pPr>
          </w:p>
        </w:tc>
        <w:tc>
          <w:tcPr>
            <w:tcW w:w="5306" w:type="dxa"/>
            <w:tcBorders>
              <w:top w:val="single" w:sz="4" w:space="0" w:color="auto"/>
              <w:left w:val="single" w:sz="4" w:space="0" w:color="auto"/>
              <w:bottom w:val="single" w:sz="4" w:space="0" w:color="auto"/>
              <w:right w:val="single" w:sz="4" w:space="0" w:color="auto"/>
            </w:tcBorders>
          </w:tcPr>
          <w:p w:rsidR="00AB7FFA" w:rsidRDefault="00AB7FFA">
            <w:pPr>
              <w:pStyle w:val="Body"/>
              <w:jc w:val="both"/>
              <w:rPr>
                <w:rFonts w:asciiTheme="minorHAnsi" w:hAnsiTheme="minorHAnsi" w:cs="Arial"/>
                <w:b/>
                <w:bCs/>
              </w:rPr>
            </w:pPr>
          </w:p>
        </w:tc>
      </w:tr>
      <w:tr w:rsidR="00AB7FFA" w:rsidTr="00AB7FFA">
        <w:tc>
          <w:tcPr>
            <w:tcW w:w="2376" w:type="dxa"/>
            <w:tcBorders>
              <w:top w:val="single" w:sz="4" w:space="0" w:color="auto"/>
              <w:left w:val="single" w:sz="4" w:space="0" w:color="auto"/>
              <w:bottom w:val="single" w:sz="4" w:space="0" w:color="auto"/>
              <w:right w:val="single" w:sz="4" w:space="0" w:color="auto"/>
            </w:tcBorders>
          </w:tcPr>
          <w:p w:rsidR="00AB7FFA" w:rsidRDefault="00AB7FFA">
            <w:pPr>
              <w:spacing w:after="0" w:line="240" w:lineRule="auto"/>
              <w:rPr>
                <w:rFonts w:asciiTheme="minorHAnsi" w:hAnsiTheme="minorHAnsi" w:cs="Arial"/>
                <w:noProof/>
                <w:sz w:val="18"/>
                <w:szCs w:val="18"/>
                <w:bdr w:val="none" w:sz="0" w:space="0" w:color="auto" w:frame="1"/>
                <w:lang w:eastAsia="en-GB"/>
              </w:rPr>
            </w:pPr>
            <w:r>
              <w:rPr>
                <w:rFonts w:asciiTheme="minorHAnsi" w:hAnsiTheme="minorHAnsi" w:cs="Arial"/>
                <w:noProof/>
                <w:sz w:val="18"/>
                <w:szCs w:val="18"/>
                <w:bdr w:val="none" w:sz="0" w:space="0" w:color="auto" w:frame="1"/>
                <w:lang w:eastAsia="en-GB"/>
              </w:rPr>
              <w:t xml:space="preserve">5. Compare and contrast different research designs and strategies for investigating external influences on education. For example a positivist or interpretivist approach, and different strategies to do research such as surveys or case studies. </w:t>
            </w:r>
          </w:p>
          <w:p w:rsidR="00AB7FFA" w:rsidRDefault="00AB7FFA">
            <w:pPr>
              <w:pStyle w:val="Default"/>
              <w:rPr>
                <w:rFonts w:asciiTheme="minorHAnsi" w:hAnsiTheme="minorHAnsi"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AB7FFA" w:rsidRDefault="00AB7FFA">
            <w:pPr>
              <w:pStyle w:val="Body"/>
              <w:jc w:val="both"/>
              <w:rPr>
                <w:rFonts w:asciiTheme="minorHAnsi" w:hAnsiTheme="minorHAnsi" w:cs="Arial"/>
                <w:b/>
                <w:bCs/>
              </w:rPr>
            </w:pPr>
          </w:p>
        </w:tc>
        <w:tc>
          <w:tcPr>
            <w:tcW w:w="5306" w:type="dxa"/>
            <w:tcBorders>
              <w:top w:val="single" w:sz="4" w:space="0" w:color="auto"/>
              <w:left w:val="single" w:sz="4" w:space="0" w:color="auto"/>
              <w:bottom w:val="single" w:sz="4" w:space="0" w:color="auto"/>
              <w:right w:val="single" w:sz="4" w:space="0" w:color="auto"/>
            </w:tcBorders>
          </w:tcPr>
          <w:p w:rsidR="00AB7FFA" w:rsidRDefault="00AB7FFA">
            <w:pPr>
              <w:pStyle w:val="Body"/>
              <w:jc w:val="both"/>
              <w:rPr>
                <w:rFonts w:asciiTheme="minorHAnsi" w:hAnsiTheme="minorHAnsi" w:cs="Arial"/>
                <w:b/>
                <w:bCs/>
              </w:rPr>
            </w:pPr>
          </w:p>
        </w:tc>
      </w:tr>
    </w:tbl>
    <w:p w:rsidR="00AB7FFA" w:rsidRDefault="00AB7FFA" w:rsidP="00AB7FFA">
      <w:pPr>
        <w:jc w:val="both"/>
        <w:rPr>
          <w:highlight w:val="yellow"/>
        </w:rPr>
      </w:pPr>
    </w:p>
    <w:p w:rsidR="00AB7FFA" w:rsidRDefault="00AB7FFA" w:rsidP="00AB7FFA">
      <w:pPr>
        <w:jc w:val="both"/>
        <w:rPr>
          <w:b/>
          <w:sz w:val="24"/>
          <w:szCs w:val="24"/>
        </w:rPr>
      </w:pPr>
    </w:p>
    <w:p w:rsidR="00AB7FFA" w:rsidRDefault="00AB7FFA" w:rsidP="00AB7FFA">
      <w:pPr>
        <w:jc w:val="both"/>
        <w:rPr>
          <w:b/>
          <w:sz w:val="24"/>
          <w:szCs w:val="24"/>
        </w:rPr>
      </w:pPr>
    </w:p>
    <w:p w:rsidR="00AB7FFA" w:rsidRDefault="00AB7FFA" w:rsidP="00AB7FFA">
      <w:pPr>
        <w:jc w:val="both"/>
        <w:rPr>
          <w:b/>
          <w:sz w:val="24"/>
          <w:szCs w:val="24"/>
        </w:rPr>
      </w:pPr>
    </w:p>
    <w:p w:rsidR="00AB7FFA" w:rsidRDefault="00AB7FFA" w:rsidP="00AB7FFA">
      <w:pPr>
        <w:jc w:val="both"/>
        <w:rPr>
          <w:b/>
          <w:sz w:val="24"/>
          <w:szCs w:val="24"/>
        </w:rPr>
      </w:pPr>
    </w:p>
    <w:p w:rsidR="00AB7FFA" w:rsidRDefault="00AB7FFA" w:rsidP="00AB7FFA">
      <w:pPr>
        <w:jc w:val="both"/>
        <w:rPr>
          <w:b/>
          <w:sz w:val="24"/>
          <w:szCs w:val="24"/>
        </w:rPr>
      </w:pPr>
    </w:p>
    <w:p w:rsidR="00AB7FFA" w:rsidRDefault="00AB7FFA" w:rsidP="00AB7FFA">
      <w:pPr>
        <w:rPr>
          <w:rFonts w:eastAsia="Arial Unicode MS" w:cs="Arial Unicode MS"/>
          <w:b/>
          <w:color w:val="000000"/>
          <w:sz w:val="24"/>
          <w:szCs w:val="24"/>
          <w:u w:val="single"/>
          <w:bdr w:val="none" w:sz="0" w:space="0" w:color="auto" w:frame="1"/>
          <w:lang w:eastAsia="en-GB"/>
        </w:rPr>
      </w:pPr>
      <w:r>
        <w:rPr>
          <w:b/>
          <w:sz w:val="24"/>
          <w:szCs w:val="24"/>
          <w:u w:val="single"/>
        </w:rPr>
        <w:br w:type="page"/>
      </w:r>
    </w:p>
    <w:p w:rsidR="00AB7FFA" w:rsidRDefault="00AB7FFA" w:rsidP="00AB7FFA">
      <w:pPr>
        <w:pStyle w:val="Body"/>
        <w:jc w:val="center"/>
        <w:rPr>
          <w:rFonts w:asciiTheme="minorHAnsi" w:hAnsiTheme="minorHAnsi"/>
          <w:b/>
          <w:sz w:val="24"/>
          <w:szCs w:val="24"/>
          <w:u w:val="single"/>
        </w:rPr>
      </w:pPr>
      <w:r>
        <w:rPr>
          <w:rFonts w:asciiTheme="minorHAnsi" w:hAnsiTheme="minorHAnsi"/>
          <w:b/>
          <w:sz w:val="24"/>
          <w:szCs w:val="24"/>
          <w:u w:val="single"/>
        </w:rPr>
        <w:lastRenderedPageBreak/>
        <w:t>Task 3: Academic Writing Task that meets the intended learning outcomes of the module for which exemption is sought</w:t>
      </w:r>
    </w:p>
    <w:p w:rsidR="00AB7FFA" w:rsidRDefault="00AB7FFA" w:rsidP="00AB7FFA">
      <w:pPr>
        <w:spacing w:after="120"/>
        <w:jc w:val="both"/>
        <w:rPr>
          <w:rFonts w:cs="Arial"/>
        </w:rPr>
      </w:pPr>
    </w:p>
    <w:p w:rsidR="00AB7FFA" w:rsidRDefault="00AB7FFA" w:rsidP="00AB7FFA">
      <w:pPr>
        <w:spacing w:after="120"/>
        <w:jc w:val="both"/>
        <w:rPr>
          <w:rFonts w:cs="Arial"/>
          <w:b/>
          <w:sz w:val="24"/>
          <w:szCs w:val="24"/>
        </w:rPr>
      </w:pPr>
      <w:proofErr w:type="gramStart"/>
      <w:r>
        <w:rPr>
          <w:rFonts w:cs="Arial"/>
          <w:b/>
          <w:sz w:val="24"/>
          <w:szCs w:val="24"/>
        </w:rPr>
        <w:t>Task 3a ELLC: Academic writing task for MSc Educational Leadership Module Educational Leadership Learning and Change for 30 credits.</w:t>
      </w:r>
      <w:proofErr w:type="gramEnd"/>
    </w:p>
    <w:p w:rsidR="00AB7FFA" w:rsidRDefault="00AB7FFA" w:rsidP="00AB7FFA">
      <w:pPr>
        <w:spacing w:after="240"/>
        <w:jc w:val="both"/>
        <w:rPr>
          <w:i/>
        </w:rPr>
      </w:pPr>
      <w:r>
        <w:rPr>
          <w:i/>
        </w:rPr>
        <w:t xml:space="preserve">If you are applying for 30 credit exemption from the MSc for the Educational Leadership, Learning and Change module 1 submit a 1000 word response to the brief below. </w:t>
      </w:r>
    </w:p>
    <w:p w:rsidR="00AB7FFA" w:rsidRDefault="00AB7FFA" w:rsidP="00AB7FFA">
      <w:pPr>
        <w:spacing w:after="240"/>
        <w:jc w:val="both"/>
      </w:pPr>
      <w:r>
        <w:rPr>
          <w:b/>
          <w:i/>
        </w:rPr>
        <w:t>The brief</w:t>
      </w:r>
    </w:p>
    <w:p w:rsidR="00AB7FFA" w:rsidRDefault="00AB7FFA" w:rsidP="00AB7FFA">
      <w:pPr>
        <w:jc w:val="both"/>
      </w:pPr>
      <w:r>
        <w:t xml:space="preserve">With reference to selected sources from the examples below (or other publically available literature by academics from the field of educational leadership, for example as accessible through Google Scholar) write to the following framework. Balance your word count as indicated for each part of the task. The word limit is 1000 words +/- 10% and does not include the reference list. </w:t>
      </w:r>
    </w:p>
    <w:p w:rsidR="00AB7FFA" w:rsidRDefault="00AB7FFA" w:rsidP="00AB7FFA">
      <w:pPr>
        <w:jc w:val="both"/>
      </w:pPr>
      <w:r>
        <w:rPr>
          <w:b/>
        </w:rPr>
        <w:t>Title:</w:t>
      </w:r>
      <w:r>
        <w:t xml:space="preserve"> Choose a title for your piece of writing and use the following subheadings to organise your response to the brief.</w:t>
      </w:r>
    </w:p>
    <w:p w:rsidR="00AB7FFA" w:rsidRDefault="00AB7FFA" w:rsidP="00AB7FFA">
      <w:pPr>
        <w:spacing w:after="120"/>
        <w:jc w:val="both"/>
        <w:rPr>
          <w:rFonts w:cs="Arial"/>
        </w:rPr>
      </w:pPr>
      <w:r>
        <w:rPr>
          <w:rFonts w:cs="Arial"/>
          <w:b/>
          <w:lang w:val="en-US"/>
        </w:rPr>
        <w:t>Professional challenge:</w:t>
      </w:r>
      <w:r>
        <w:rPr>
          <w:rFonts w:cs="Arial"/>
          <w:lang w:val="en-US"/>
        </w:rPr>
        <w:t xml:space="preserve"> Outline a professional challenge, putting it into context by identifying your own particular role and interest in the challenge and discussing how it relates to the work of your </w:t>
      </w:r>
      <w:proofErr w:type="spellStart"/>
      <w:r>
        <w:rPr>
          <w:rFonts w:cs="Arial"/>
          <w:lang w:val="en-US"/>
        </w:rPr>
        <w:t>organisation</w:t>
      </w:r>
      <w:proofErr w:type="spellEnd"/>
      <w:r>
        <w:rPr>
          <w:rFonts w:cs="Arial"/>
          <w:lang w:val="en-US"/>
        </w:rPr>
        <w:t xml:space="preserve">. You should also refer to the significance of the challenge to you, your colleagues and your </w:t>
      </w:r>
      <w:proofErr w:type="spellStart"/>
      <w:r>
        <w:rPr>
          <w:rFonts w:cs="Arial"/>
          <w:lang w:val="en-US"/>
        </w:rPr>
        <w:t>organisation</w:t>
      </w:r>
      <w:proofErr w:type="spellEnd"/>
      <w:r>
        <w:rPr>
          <w:rFonts w:cs="Arial"/>
          <w:lang w:val="en-US"/>
        </w:rPr>
        <w:t>. It would also be useful to hear how this challenge relates to any wider reforms, initiatives or cultural issues. (Approx. 400 words)</w:t>
      </w:r>
    </w:p>
    <w:p w:rsidR="00AB7FFA" w:rsidRDefault="00AB7FFA" w:rsidP="00AB7FFA">
      <w:pPr>
        <w:spacing w:after="120"/>
        <w:jc w:val="both"/>
        <w:rPr>
          <w:rFonts w:cs="Arial"/>
        </w:rPr>
      </w:pPr>
      <w:r>
        <w:rPr>
          <w:rFonts w:cs="Arial"/>
          <w:b/>
          <w:lang w:val="en-US"/>
        </w:rPr>
        <w:t>Conceptual resources:</w:t>
      </w:r>
      <w:r>
        <w:rPr>
          <w:rFonts w:cs="Arial"/>
          <w:lang w:val="en-US"/>
        </w:rPr>
        <w:t xml:space="preserve"> Outline key ideas related to this professional challenge, drawing on relevant published work and critically reflecting on them in relation to your own professional experience. (Approx. 500-550 words)</w:t>
      </w:r>
    </w:p>
    <w:p w:rsidR="00AB7FFA" w:rsidRDefault="00AB7FFA" w:rsidP="00AB7FFA">
      <w:pPr>
        <w:spacing w:after="120"/>
        <w:jc w:val="both"/>
        <w:rPr>
          <w:rFonts w:cs="Arial"/>
        </w:rPr>
      </w:pPr>
      <w:r>
        <w:rPr>
          <w:rFonts w:cs="Arial"/>
          <w:b/>
          <w:lang w:val="en-US"/>
        </w:rPr>
        <w:t>Research questions:</w:t>
      </w:r>
      <w:r>
        <w:rPr>
          <w:rFonts w:cs="Arial"/>
          <w:lang w:val="en-US"/>
        </w:rPr>
        <w:t xml:space="preserve"> List a set of questions that you see as arising from thinking about your professional challenge. These are questions that would allow you to design a study. The questions will need to be framed in a way such that data can be collected to address them from a small-scale study (as will be carried out later in the MSc </w:t>
      </w:r>
      <w:proofErr w:type="spellStart"/>
      <w:r>
        <w:rPr>
          <w:rFonts w:cs="Arial"/>
          <w:lang w:val="en-US"/>
        </w:rPr>
        <w:t>programme</w:t>
      </w:r>
      <w:proofErr w:type="spellEnd"/>
      <w:r>
        <w:rPr>
          <w:rFonts w:cs="Arial"/>
          <w:lang w:val="en-US"/>
        </w:rPr>
        <w:t>). Try and limit the number of research questions to between 3 and 6. You might find it useful to identify one or two main research questions with two or three subsidiary questions. Offer a brief explanation of the connection you see between the preceding two sections and the questions. (Approx. 50-100 words)</w:t>
      </w:r>
    </w:p>
    <w:p w:rsidR="00AB7FFA" w:rsidRDefault="00AB7FFA" w:rsidP="00AB7FFA">
      <w:pPr>
        <w:pStyle w:val="Body"/>
        <w:jc w:val="both"/>
        <w:rPr>
          <w:rFonts w:asciiTheme="minorHAnsi" w:hAnsiTheme="minorHAnsi" w:cs="Arial"/>
          <w:b/>
        </w:rPr>
      </w:pPr>
      <w:r>
        <w:rPr>
          <w:rFonts w:asciiTheme="minorHAnsi" w:hAnsiTheme="minorHAnsi" w:cs="Arial"/>
        </w:rPr>
        <w:t xml:space="preserve">The word limit is 1000 words +/- 10%. </w:t>
      </w:r>
      <w:r>
        <w:rPr>
          <w:rFonts w:asciiTheme="minorHAnsi" w:hAnsiTheme="minorHAnsi" w:cs="Arial"/>
          <w:b/>
        </w:rPr>
        <w:t>Please note: The word count of the reference list is IN ADDITION TO this word limit.</w:t>
      </w:r>
    </w:p>
    <w:p w:rsidR="00AB7FFA" w:rsidRDefault="00AB7FFA" w:rsidP="00AB7FFA">
      <w:pPr>
        <w:pStyle w:val="Body"/>
        <w:jc w:val="both"/>
        <w:rPr>
          <w:rFonts w:asciiTheme="minorHAnsi" w:hAnsiTheme="minorHAnsi" w:cs="Arial"/>
          <w:b/>
        </w:rPr>
      </w:pPr>
    </w:p>
    <w:p w:rsidR="00AB7FFA" w:rsidRDefault="00AB7FFA" w:rsidP="00AB7FFA">
      <w:pPr>
        <w:pStyle w:val="Body"/>
        <w:jc w:val="both"/>
        <w:rPr>
          <w:rStyle w:val="Hyperlink"/>
          <w:i/>
        </w:rPr>
      </w:pPr>
      <w:r>
        <w:rPr>
          <w:rFonts w:asciiTheme="minorHAnsi" w:hAnsiTheme="minorHAnsi"/>
          <w:i/>
        </w:rPr>
        <w:t xml:space="preserve">Please refer to our writing styles tutorial, in particular with respect to referencing, available at: </w:t>
      </w:r>
      <w:hyperlink r:id="rId6" w:history="1">
        <w:r>
          <w:rPr>
            <w:rStyle w:val="Hyperlink"/>
            <w:rFonts w:asciiTheme="minorHAnsi" w:hAnsiTheme="minorHAnsi"/>
            <w:i/>
          </w:rPr>
          <w:t>http://www.le.ac.uk/oerresources/ssds/writingskills/page_13.htm</w:t>
        </w:r>
      </w:hyperlink>
    </w:p>
    <w:p w:rsidR="00AB7FFA" w:rsidRDefault="00AB7FFA" w:rsidP="00AB7FFA">
      <w:pPr>
        <w:pStyle w:val="Body"/>
        <w:jc w:val="both"/>
        <w:rPr>
          <w:rFonts w:cs="Arial"/>
          <w:b/>
        </w:rPr>
      </w:pPr>
    </w:p>
    <w:p w:rsidR="00AB7FFA" w:rsidRDefault="00AB7FFA" w:rsidP="00AB7FFA">
      <w:pPr>
        <w:spacing w:after="120"/>
        <w:jc w:val="both"/>
        <w:rPr>
          <w:b/>
          <w:i/>
        </w:rPr>
      </w:pPr>
      <w:r>
        <w:rPr>
          <w:b/>
          <w:i/>
        </w:rPr>
        <w:t xml:space="preserve">Recommended, but not essential, publically available sources: </w:t>
      </w:r>
    </w:p>
    <w:p w:rsidR="00AB7FFA" w:rsidRDefault="00AB7FFA" w:rsidP="00AB7FFA">
      <w:pPr>
        <w:spacing w:after="120"/>
      </w:pPr>
      <w:r>
        <w:t xml:space="preserve">Bush, T. (2007) Educational leadership and management: theory, policy and practice, </w:t>
      </w:r>
      <w:r>
        <w:rPr>
          <w:i/>
        </w:rPr>
        <w:t>South African Journal of Education</w:t>
      </w:r>
      <w:r>
        <w:t xml:space="preserve">, </w:t>
      </w:r>
      <w:hyperlink r:id="rId7" w:history="1">
        <w:r>
          <w:rPr>
            <w:rStyle w:val="Hyperlink"/>
          </w:rPr>
          <w:t>http://scholar.google.co.uk/scholar?hl=en&amp;q=tony+bush+leadership&amp;btnG=&amp;as_sdt=1%2C5&amp;as_sdtp</w:t>
        </w:r>
      </w:hyperlink>
      <w:r>
        <w:t>=</w:t>
      </w:r>
    </w:p>
    <w:p w:rsidR="00AB7FFA" w:rsidRDefault="00AB7FFA" w:rsidP="00AB7FFA">
      <w:pPr>
        <w:spacing w:after="120"/>
      </w:pPr>
      <w:r>
        <w:lastRenderedPageBreak/>
        <w:t xml:space="preserve">Day, C., Hopkins, D., Harris, A., and </w:t>
      </w:r>
      <w:proofErr w:type="spellStart"/>
      <w:r>
        <w:t>Ahtaridou</w:t>
      </w:r>
      <w:proofErr w:type="spellEnd"/>
      <w:r>
        <w:t xml:space="preserve">, E. (2009) </w:t>
      </w:r>
      <w:proofErr w:type="gramStart"/>
      <w:r>
        <w:t>The</w:t>
      </w:r>
      <w:proofErr w:type="gramEnd"/>
      <w:r>
        <w:t xml:space="preserve"> impact of school leadership on pupil outcomes. Final report, London: DERA </w:t>
      </w:r>
      <w:hyperlink r:id="rId8" w:history="1">
        <w:r>
          <w:rPr>
            <w:rStyle w:val="Hyperlink"/>
          </w:rPr>
          <w:t>http://dera.ioe.ac.uk/11329/1/DCSF-RR108.pdf</w:t>
        </w:r>
      </w:hyperlink>
      <w:r>
        <w:t xml:space="preserve"> </w:t>
      </w:r>
    </w:p>
    <w:p w:rsidR="00AB7FFA" w:rsidRDefault="00AB7FFA" w:rsidP="00AB7FFA">
      <w:pPr>
        <w:spacing w:after="120"/>
        <w:rPr>
          <w:i/>
        </w:rPr>
      </w:pPr>
      <w:proofErr w:type="spellStart"/>
      <w:r>
        <w:t>Fullan</w:t>
      </w:r>
      <w:proofErr w:type="spellEnd"/>
      <w:r>
        <w:t xml:space="preserve">, M. (1993) Why Teachers Must Become Change Agents, </w:t>
      </w:r>
      <w:r>
        <w:rPr>
          <w:i/>
        </w:rPr>
        <w:t>Educational Leadership, 50(6)</w:t>
      </w:r>
      <w:r>
        <w:t xml:space="preserve"> </w:t>
      </w:r>
      <w:hyperlink r:id="rId9" w:history="1">
        <w:r>
          <w:rPr>
            <w:rStyle w:val="Hyperlink"/>
            <w:i/>
          </w:rPr>
          <w:t>http://www.csus.edu/indiv/j/jelinekd/EDTE%20227/Fullen%20change.pdf</w:t>
        </w:r>
      </w:hyperlink>
      <w:r>
        <w:rPr>
          <w:i/>
        </w:rPr>
        <w:t xml:space="preserve"> </w:t>
      </w:r>
    </w:p>
    <w:p w:rsidR="00AB7FFA" w:rsidRDefault="00AB7FFA" w:rsidP="00AB7FFA">
      <w:pPr>
        <w:spacing w:after="120"/>
        <w:rPr>
          <w:rFonts w:cs="Arial"/>
        </w:rPr>
      </w:pPr>
      <w:proofErr w:type="spellStart"/>
      <w:proofErr w:type="gramStart"/>
      <w:r>
        <w:t>Fullan</w:t>
      </w:r>
      <w:proofErr w:type="spellEnd"/>
      <w:r>
        <w:t>.</w:t>
      </w:r>
      <w:proofErr w:type="gramEnd"/>
      <w:r>
        <w:t xml:space="preserve"> M (2009) </w:t>
      </w:r>
      <w:r>
        <w:rPr>
          <w:i/>
          <w:lang w:val="en"/>
        </w:rPr>
        <w:t xml:space="preserve">Leadership in Education: Michael </w:t>
      </w:r>
      <w:proofErr w:type="spellStart"/>
      <w:r>
        <w:rPr>
          <w:i/>
          <w:lang w:val="en"/>
        </w:rPr>
        <w:t>Fullan</w:t>
      </w:r>
      <w:proofErr w:type="spellEnd"/>
      <w:r>
        <w:rPr>
          <w:i/>
          <w:lang w:val="en"/>
        </w:rPr>
        <w:t xml:space="preserve"> Change</w:t>
      </w:r>
      <w:r>
        <w:rPr>
          <w:lang w:val="en"/>
        </w:rPr>
        <w:t xml:space="preserve"> </w:t>
      </w:r>
      <w:hyperlink r:id="rId10" w:history="1">
        <w:r>
          <w:rPr>
            <w:rStyle w:val="Hyperlink"/>
            <w:lang w:val="en-US"/>
          </w:rPr>
          <w:t>http://www.youtube.com/watch?v=ZgUjrzd2SBIandfeature=related</w:t>
        </w:r>
      </w:hyperlink>
      <w:r>
        <w:rPr>
          <w:rFonts w:cs="Arial"/>
        </w:rPr>
        <w:t xml:space="preserve"> (</w:t>
      </w:r>
      <w:proofErr w:type="spellStart"/>
      <w:r>
        <w:t>youtube</w:t>
      </w:r>
      <w:proofErr w:type="spellEnd"/>
      <w:r>
        <w:t xml:space="preserve"> clip)</w:t>
      </w:r>
    </w:p>
    <w:p w:rsidR="00AB7FFA" w:rsidRDefault="00AB7FFA" w:rsidP="00AB7FFA">
      <w:pPr>
        <w:spacing w:after="120"/>
        <w:rPr>
          <w:rFonts w:cs="Arial"/>
        </w:rPr>
      </w:pPr>
      <w:r>
        <w:rPr>
          <w:rFonts w:cs="Arial"/>
        </w:rPr>
        <w:t xml:space="preserve">Hargreaves, A. (2009) </w:t>
      </w:r>
      <w:proofErr w:type="gramStart"/>
      <w:r>
        <w:rPr>
          <w:rFonts w:cs="Arial"/>
        </w:rPr>
        <w:t>The</w:t>
      </w:r>
      <w:proofErr w:type="gramEnd"/>
      <w:r>
        <w:rPr>
          <w:rFonts w:cs="Arial"/>
        </w:rPr>
        <w:t xml:space="preserve"> seven principles of successful leadership, </w:t>
      </w:r>
      <w:hyperlink r:id="rId11" w:history="1">
        <w:r>
          <w:rPr>
            <w:rStyle w:val="Hyperlink"/>
            <w:rFonts w:cs="Arial"/>
          </w:rPr>
          <w:t>http://jotamac.typepad.com/jotamacs_weblog/files/seven_principles.pdf</w:t>
        </w:r>
      </w:hyperlink>
    </w:p>
    <w:p w:rsidR="00AB7FFA" w:rsidRDefault="00AB7FFA" w:rsidP="00AB7FFA">
      <w:pPr>
        <w:spacing w:after="120"/>
        <w:rPr>
          <w:rFonts w:cs="Arial"/>
        </w:rPr>
      </w:pPr>
      <w:proofErr w:type="gramStart"/>
      <w:r>
        <w:rPr>
          <w:rFonts w:cs="Arial"/>
        </w:rPr>
        <w:t>Hargreaves, A.</w:t>
      </w:r>
      <w:proofErr w:type="gramEnd"/>
      <w:r>
        <w:rPr>
          <w:rFonts w:cs="Arial"/>
        </w:rPr>
        <w:t xml:space="preserve">  (2011) </w:t>
      </w:r>
      <w:r>
        <w:rPr>
          <w:rFonts w:cs="Arial"/>
          <w:lang w:val="en"/>
        </w:rPr>
        <w:t xml:space="preserve">Andy Hargreaves - Leadership and "The Fourth Way" </w:t>
      </w:r>
      <w:hyperlink r:id="rId12" w:history="1">
        <w:r>
          <w:rPr>
            <w:rStyle w:val="Hyperlink"/>
            <w:rFonts w:eastAsiaTheme="majorEastAsia" w:cs="Arial"/>
          </w:rPr>
          <w:t>http://www.youtube.com/watch?v=RVPu_OKpkFoandfeature=related</w:t>
        </w:r>
      </w:hyperlink>
      <w:r>
        <w:rPr>
          <w:rStyle w:val="Hyperlink"/>
          <w:rFonts w:eastAsiaTheme="majorEastAsia" w:cs="Arial"/>
        </w:rPr>
        <w:t xml:space="preserve"> (</w:t>
      </w:r>
      <w:proofErr w:type="spellStart"/>
      <w:r>
        <w:rPr>
          <w:rFonts w:cs="Arial"/>
        </w:rPr>
        <w:t>youtube</w:t>
      </w:r>
      <w:proofErr w:type="spellEnd"/>
      <w:r>
        <w:rPr>
          <w:rFonts w:cs="Arial"/>
        </w:rPr>
        <w:t xml:space="preserve"> clip)</w:t>
      </w:r>
    </w:p>
    <w:p w:rsidR="00AB7FFA" w:rsidRDefault="00AB7FFA" w:rsidP="00AB7FFA">
      <w:pPr>
        <w:spacing w:after="120"/>
        <w:rPr>
          <w:rFonts w:cs="Arial"/>
        </w:rPr>
      </w:pPr>
      <w:r>
        <w:rPr>
          <w:rFonts w:cs="Arial"/>
        </w:rPr>
        <w:t xml:space="preserve">Hargreaves, D. (2004) </w:t>
      </w:r>
      <w:proofErr w:type="gramStart"/>
      <w:r>
        <w:rPr>
          <w:rFonts w:cs="Arial"/>
        </w:rPr>
        <w:t>A</w:t>
      </w:r>
      <w:proofErr w:type="gramEnd"/>
      <w:r>
        <w:rPr>
          <w:rFonts w:cs="Arial"/>
        </w:rPr>
        <w:t xml:space="preserve"> new shape for schooling, London: SSAT </w:t>
      </w:r>
      <w:hyperlink r:id="rId13" w:history="1">
        <w:r>
          <w:rPr>
            <w:rStyle w:val="Hyperlink"/>
            <w:rFonts w:cs="Arial"/>
          </w:rPr>
          <w:t>http://www.my-ecoach.com/online/resources/13729/a_new_shape_for_schooling_11.pdf</w:t>
        </w:r>
      </w:hyperlink>
      <w:r>
        <w:rPr>
          <w:rFonts w:cs="Arial"/>
        </w:rPr>
        <w:t xml:space="preserve"> </w:t>
      </w:r>
    </w:p>
    <w:p w:rsidR="00AB7FFA" w:rsidRDefault="00AB7FFA" w:rsidP="00AB7FFA">
      <w:pPr>
        <w:spacing w:after="120"/>
        <w:rPr>
          <w:rFonts w:cs="Arial"/>
        </w:rPr>
      </w:pPr>
      <w:proofErr w:type="gramStart"/>
      <w:r>
        <w:rPr>
          <w:rFonts w:cs="Arial"/>
        </w:rPr>
        <w:t>Hargreaves, D. (2010) Creating a self-improving school system.</w:t>
      </w:r>
      <w:proofErr w:type="gramEnd"/>
      <w:r>
        <w:rPr>
          <w:rFonts w:cs="Arial"/>
        </w:rPr>
        <w:t xml:space="preserve"> London: DERA. </w:t>
      </w:r>
      <w:hyperlink r:id="rId14" w:history="1">
        <w:r>
          <w:rPr>
            <w:rStyle w:val="Hyperlink"/>
            <w:rFonts w:cs="Arial"/>
          </w:rPr>
          <w:t>http://dera.ioe.ac.uk/2093/1/download%3Fid%3D133672%26filename%3Dcreating-a-self-improving-school-system.pdf</w:t>
        </w:r>
      </w:hyperlink>
    </w:p>
    <w:p w:rsidR="00AB7FFA" w:rsidRDefault="00AB7FFA" w:rsidP="00AB7FFA">
      <w:pPr>
        <w:spacing w:after="120"/>
        <w:rPr>
          <w:rFonts w:cs="Arial"/>
        </w:rPr>
      </w:pPr>
      <w:proofErr w:type="spellStart"/>
      <w:r>
        <w:rPr>
          <w:rFonts w:cs="Arial"/>
          <w:bCs/>
        </w:rPr>
        <w:t>Ingvarson</w:t>
      </w:r>
      <w:proofErr w:type="spellEnd"/>
      <w:r>
        <w:rPr>
          <w:rFonts w:cs="Arial"/>
        </w:rPr>
        <w:t xml:space="preserve">, L., </w:t>
      </w:r>
      <w:r>
        <w:rPr>
          <w:rFonts w:cs="Arial"/>
          <w:bCs/>
        </w:rPr>
        <w:t>Anderson</w:t>
      </w:r>
      <w:r>
        <w:rPr>
          <w:rFonts w:cs="Arial"/>
        </w:rPr>
        <w:t xml:space="preserve">, M, </w:t>
      </w:r>
      <w:proofErr w:type="spellStart"/>
      <w:r>
        <w:rPr>
          <w:rFonts w:cs="Arial"/>
          <w:bCs/>
        </w:rPr>
        <w:t>Gronn</w:t>
      </w:r>
      <w:proofErr w:type="spellEnd"/>
      <w:r>
        <w:rPr>
          <w:rFonts w:cs="Arial"/>
        </w:rPr>
        <w:t>, P. J</w:t>
      </w:r>
      <w:r>
        <w:rPr>
          <w:rFonts w:cs="Arial"/>
          <w:bCs/>
        </w:rPr>
        <w:t>ackson</w:t>
      </w:r>
      <w:r>
        <w:rPr>
          <w:rFonts w:cs="Arial"/>
        </w:rPr>
        <w:t xml:space="preserve">, </w:t>
      </w:r>
      <w:r>
        <w:rPr>
          <w:rFonts w:cs="Arial"/>
          <w:i/>
          <w:iCs/>
        </w:rPr>
        <w:t>A. (</w:t>
      </w:r>
      <w:r>
        <w:rPr>
          <w:rFonts w:cs="Arial"/>
          <w:bCs/>
        </w:rPr>
        <w:t>2006)</w:t>
      </w:r>
      <w:r>
        <w:rPr>
          <w:rFonts w:cs="Arial"/>
        </w:rPr>
        <w:t xml:space="preserve"> Standards for School Leadership: a critical review of the literature </w:t>
      </w:r>
      <w:hyperlink r:id="rId15" w:history="1">
        <w:r>
          <w:rPr>
            <w:rStyle w:val="Hyperlink"/>
            <w:rFonts w:cs="Arial"/>
          </w:rPr>
          <w:t>http://works.bepress.com/michelle_anderson/4/</w:t>
        </w:r>
      </w:hyperlink>
    </w:p>
    <w:p w:rsidR="00AB7FFA" w:rsidRDefault="00AB7FFA" w:rsidP="00AB7FFA">
      <w:r>
        <w:t xml:space="preserve">Lieberman, A. (2012) Ann Lieberman </w:t>
      </w:r>
      <w:hyperlink r:id="rId16" w:history="1">
        <w:r>
          <w:rPr>
            <w:rStyle w:val="Hyperlink"/>
          </w:rPr>
          <w:t>http://www.youtube.com/watch?v=rgGd7UIZMUE</w:t>
        </w:r>
      </w:hyperlink>
      <w:r>
        <w:t xml:space="preserve">  (</w:t>
      </w:r>
      <w:proofErr w:type="spellStart"/>
      <w:r>
        <w:t>youtube</w:t>
      </w:r>
      <w:proofErr w:type="spellEnd"/>
      <w:r>
        <w:t xml:space="preserve"> clip)</w:t>
      </w:r>
    </w:p>
    <w:p w:rsidR="00AB7FFA" w:rsidRDefault="00AB7FFA" w:rsidP="00AB7FFA">
      <w:pPr>
        <w:spacing w:after="120"/>
        <w:rPr>
          <w:rFonts w:cs="Arial"/>
        </w:rPr>
      </w:pPr>
      <w:proofErr w:type="spellStart"/>
      <w:r>
        <w:rPr>
          <w:rFonts w:cs="Arial"/>
        </w:rPr>
        <w:t>Macbeath</w:t>
      </w:r>
      <w:proofErr w:type="spellEnd"/>
      <w:r>
        <w:rPr>
          <w:rFonts w:cs="Arial"/>
        </w:rPr>
        <w:t xml:space="preserve">, J. (1999) Schools must speak for </w:t>
      </w:r>
      <w:proofErr w:type="gramStart"/>
      <w:r>
        <w:rPr>
          <w:rFonts w:cs="Arial"/>
        </w:rPr>
        <w:t>themselves :</w:t>
      </w:r>
      <w:proofErr w:type="gramEnd"/>
      <w:r>
        <w:rPr>
          <w:rFonts w:cs="Arial"/>
        </w:rPr>
        <w:t xml:space="preserve"> The case for school self-evaluation, </w:t>
      </w:r>
      <w:hyperlink r:id="rId17" w:history="1">
        <w:r>
          <w:rPr>
            <w:rStyle w:val="Hyperlink"/>
            <w:rFonts w:cs="Arial"/>
          </w:rPr>
          <w:t>https://www.essr.net/~jafundo/mestrado_material_itgjkhnld/SP/ebooksclub.org__Schools_Must_Speak_for_Themselves__The_Case_for_School_Self_Evaluation__Whats_in_It_for_Schools_.pdf</w:t>
        </w:r>
      </w:hyperlink>
    </w:p>
    <w:p w:rsidR="00AB7FFA" w:rsidRDefault="00AB7FFA" w:rsidP="00AB7FFA">
      <w:pPr>
        <w:spacing w:after="120"/>
        <w:jc w:val="both"/>
        <w:rPr>
          <w:rFonts w:cs="Arial"/>
          <w:b/>
          <w:i/>
        </w:rPr>
      </w:pPr>
      <w:r>
        <w:rPr>
          <w:rFonts w:cs="Arial"/>
          <w:b/>
          <w:i/>
          <w:lang w:val="nl-NL"/>
        </w:rPr>
        <w:t>Marking guide</w:t>
      </w:r>
    </w:p>
    <w:p w:rsidR="00AB7FFA" w:rsidRDefault="00AB7FFA" w:rsidP="00AB7FFA">
      <w:pPr>
        <w:spacing w:after="120"/>
        <w:jc w:val="both"/>
        <w:rPr>
          <w:rFonts w:cs="Arial"/>
        </w:rPr>
      </w:pPr>
      <w:r>
        <w:rPr>
          <w:rFonts w:cs="Arial"/>
          <w:lang w:val="en-US"/>
        </w:rPr>
        <w:t>A successful academic writing task will show the following characteristics:</w:t>
      </w:r>
    </w:p>
    <w:p w:rsidR="00AB7FFA" w:rsidRDefault="00AB7FFA" w:rsidP="00AB7FFA">
      <w:pPr>
        <w:pStyle w:val="ListParagraph"/>
        <w:numPr>
          <w:ilvl w:val="0"/>
          <w:numId w:val="2"/>
        </w:numPr>
        <w:spacing w:after="240" w:line="240" w:lineRule="auto"/>
        <w:jc w:val="both"/>
        <w:rPr>
          <w:rFonts w:cs="Arial"/>
        </w:rPr>
      </w:pPr>
      <w:r>
        <w:rPr>
          <w:rFonts w:cs="Arial"/>
          <w:lang w:val="en-US"/>
        </w:rPr>
        <w:t>A relevant, module-appropriate working title;</w:t>
      </w:r>
    </w:p>
    <w:p w:rsidR="00AB7FFA" w:rsidRDefault="00AB7FFA" w:rsidP="00AB7FFA">
      <w:pPr>
        <w:pStyle w:val="ListParagraph"/>
        <w:numPr>
          <w:ilvl w:val="0"/>
          <w:numId w:val="2"/>
        </w:numPr>
        <w:spacing w:after="240" w:line="240" w:lineRule="auto"/>
        <w:jc w:val="both"/>
        <w:rPr>
          <w:rFonts w:cs="Arial"/>
        </w:rPr>
      </w:pPr>
      <w:r>
        <w:rPr>
          <w:rFonts w:cs="Arial"/>
          <w:lang w:val="en-US"/>
        </w:rPr>
        <w:t>Clarity about the professional challenge;</w:t>
      </w:r>
    </w:p>
    <w:p w:rsidR="00AB7FFA" w:rsidRDefault="00AB7FFA" w:rsidP="00AB7FFA">
      <w:pPr>
        <w:pStyle w:val="ListParagraph"/>
        <w:numPr>
          <w:ilvl w:val="0"/>
          <w:numId w:val="2"/>
        </w:numPr>
        <w:spacing w:after="240" w:line="240" w:lineRule="auto"/>
        <w:jc w:val="both"/>
        <w:rPr>
          <w:rFonts w:cs="Arial"/>
        </w:rPr>
      </w:pPr>
      <w:r>
        <w:rPr>
          <w:rFonts w:cs="Arial"/>
          <w:lang w:val="en-US"/>
        </w:rPr>
        <w:t>Relevant and reflective comments about the context in which the challenge is experienced;</w:t>
      </w:r>
    </w:p>
    <w:p w:rsidR="00AB7FFA" w:rsidRDefault="00AB7FFA" w:rsidP="00AB7FFA">
      <w:pPr>
        <w:pStyle w:val="ListParagraph"/>
        <w:numPr>
          <w:ilvl w:val="0"/>
          <w:numId w:val="2"/>
        </w:numPr>
        <w:spacing w:after="240" w:line="240" w:lineRule="auto"/>
        <w:jc w:val="both"/>
        <w:rPr>
          <w:rFonts w:cs="Arial"/>
        </w:rPr>
      </w:pPr>
      <w:r>
        <w:rPr>
          <w:rFonts w:cs="Arial"/>
          <w:lang w:val="en-US"/>
        </w:rPr>
        <w:t>Identification of key ideas that are relevant to the research focus;</w:t>
      </w:r>
    </w:p>
    <w:p w:rsidR="00AB7FFA" w:rsidRDefault="00AB7FFA" w:rsidP="00AB7FFA">
      <w:pPr>
        <w:pStyle w:val="ListParagraph"/>
        <w:numPr>
          <w:ilvl w:val="0"/>
          <w:numId w:val="2"/>
        </w:numPr>
        <w:spacing w:after="240" w:line="240" w:lineRule="auto"/>
        <w:jc w:val="both"/>
        <w:rPr>
          <w:rFonts w:cs="Arial"/>
        </w:rPr>
      </w:pPr>
      <w:r>
        <w:rPr>
          <w:rFonts w:cs="Arial"/>
          <w:lang w:val="en-US"/>
        </w:rPr>
        <w:t>Selection and reference to relevant published work;</w:t>
      </w:r>
    </w:p>
    <w:p w:rsidR="00AB7FFA" w:rsidRDefault="00AB7FFA" w:rsidP="00AB7FFA">
      <w:pPr>
        <w:pStyle w:val="ListParagraph"/>
        <w:numPr>
          <w:ilvl w:val="0"/>
          <w:numId w:val="2"/>
        </w:numPr>
        <w:spacing w:after="240" w:line="240" w:lineRule="auto"/>
        <w:jc w:val="both"/>
        <w:rPr>
          <w:rFonts w:cs="Arial"/>
        </w:rPr>
      </w:pPr>
      <w:r>
        <w:rPr>
          <w:rFonts w:cs="Arial"/>
          <w:lang w:val="en-US"/>
        </w:rPr>
        <w:t>Critical examination of the ideas presented in published work in the light of personal professional experience and understanding of own context;</w:t>
      </w:r>
    </w:p>
    <w:p w:rsidR="00AB7FFA" w:rsidRDefault="00AB7FFA" w:rsidP="00AB7FFA">
      <w:pPr>
        <w:pStyle w:val="ListParagraph"/>
        <w:numPr>
          <w:ilvl w:val="0"/>
          <w:numId w:val="2"/>
        </w:numPr>
        <w:spacing w:after="240" w:line="240" w:lineRule="auto"/>
        <w:jc w:val="both"/>
        <w:rPr>
          <w:rFonts w:cs="Arial"/>
        </w:rPr>
      </w:pPr>
      <w:r>
        <w:rPr>
          <w:rFonts w:cs="Arial"/>
          <w:lang w:val="en-US"/>
        </w:rPr>
        <w:t>Developing thinking about the research focus as evidenced by a set of possible research questions;</w:t>
      </w:r>
    </w:p>
    <w:p w:rsidR="00AB7FFA" w:rsidRDefault="00AB7FFA" w:rsidP="00AB7FFA">
      <w:pPr>
        <w:pStyle w:val="ListParagraph"/>
        <w:numPr>
          <w:ilvl w:val="0"/>
          <w:numId w:val="2"/>
        </w:numPr>
        <w:spacing w:after="240" w:line="240" w:lineRule="auto"/>
        <w:jc w:val="both"/>
        <w:rPr>
          <w:rFonts w:cs="Arial"/>
        </w:rPr>
      </w:pPr>
      <w:r>
        <w:rPr>
          <w:rFonts w:cs="Arial"/>
          <w:lang w:val="en-US"/>
        </w:rPr>
        <w:t>Clear connections made between the research questions and the research focus;</w:t>
      </w:r>
    </w:p>
    <w:p w:rsidR="00AB7FFA" w:rsidRDefault="00AB7FFA" w:rsidP="00AB7FFA">
      <w:pPr>
        <w:pStyle w:val="ListParagraph"/>
        <w:numPr>
          <w:ilvl w:val="0"/>
          <w:numId w:val="2"/>
        </w:numPr>
        <w:spacing w:after="240" w:line="240" w:lineRule="auto"/>
        <w:jc w:val="both"/>
        <w:rPr>
          <w:rFonts w:cs="Arial"/>
          <w:lang w:val="en-US"/>
        </w:rPr>
      </w:pPr>
      <w:r>
        <w:rPr>
          <w:rFonts w:cs="Arial"/>
          <w:lang w:val="en-US"/>
        </w:rPr>
        <w:t>An appropriate writing style which communicates the ideas clearly whilst clearly giving a sense of personal professional voice (The use of ‘I’ and personal pronouns are preferable to writing in the third person);</w:t>
      </w:r>
    </w:p>
    <w:p w:rsidR="00AB7FFA" w:rsidRDefault="00AB7FFA" w:rsidP="00AB7FFA">
      <w:pPr>
        <w:pStyle w:val="ListParagraph"/>
        <w:numPr>
          <w:ilvl w:val="0"/>
          <w:numId w:val="2"/>
        </w:numPr>
        <w:spacing w:after="240" w:line="240" w:lineRule="auto"/>
        <w:jc w:val="both"/>
        <w:rPr>
          <w:rFonts w:cs="Arial"/>
          <w:lang w:val="en-US"/>
        </w:rPr>
      </w:pPr>
      <w:r>
        <w:rPr>
          <w:rFonts w:cs="Arial"/>
          <w:lang w:val="en-US"/>
        </w:rPr>
        <w:t>Citation of the work referred to, when used to back up points made, using the Harvard referencing system and including a reference list;</w:t>
      </w:r>
    </w:p>
    <w:p w:rsidR="00AB7FFA" w:rsidRDefault="00AB7FFA" w:rsidP="00AB7FFA">
      <w:pPr>
        <w:pStyle w:val="ListParagraph"/>
        <w:numPr>
          <w:ilvl w:val="0"/>
          <w:numId w:val="2"/>
        </w:numPr>
        <w:spacing w:after="240" w:line="240" w:lineRule="auto"/>
        <w:jc w:val="both"/>
        <w:rPr>
          <w:rFonts w:cs="Arial"/>
          <w:lang w:val="en-US"/>
        </w:rPr>
      </w:pPr>
      <w:r>
        <w:rPr>
          <w:rFonts w:cs="Arial"/>
          <w:lang w:val="en-US"/>
        </w:rPr>
        <w:t>Does not exceed 1100 words (excluding reference list).</w:t>
      </w:r>
    </w:p>
    <w:p w:rsidR="00AB7FFA" w:rsidRDefault="00AB7FFA" w:rsidP="00AB7FFA">
      <w:pPr>
        <w:pStyle w:val="ListParagraph"/>
        <w:spacing w:after="240"/>
        <w:ind w:left="927"/>
        <w:jc w:val="both"/>
        <w:rPr>
          <w:b/>
          <w:i/>
        </w:rPr>
      </w:pPr>
    </w:p>
    <w:p w:rsidR="00AB7FFA" w:rsidRDefault="00AB7FFA" w:rsidP="00AB7FFA">
      <w:pPr>
        <w:spacing w:after="120"/>
        <w:rPr>
          <w:rFonts w:cs="Arial"/>
          <w:b/>
          <w:sz w:val="24"/>
          <w:szCs w:val="24"/>
        </w:rPr>
      </w:pPr>
      <w:r>
        <w:rPr>
          <w:rFonts w:cs="Arial"/>
          <w:b/>
          <w:sz w:val="24"/>
          <w:szCs w:val="24"/>
        </w:rPr>
        <w:lastRenderedPageBreak/>
        <w:t>Task 3b EIEL: Academic writing task MSc Educational Leadership Module External Influences on Educational Leadership for 30 credits</w:t>
      </w:r>
    </w:p>
    <w:p w:rsidR="00AB7FFA" w:rsidRDefault="00AB7FFA" w:rsidP="00AB7FFA">
      <w:pPr>
        <w:spacing w:after="240"/>
        <w:jc w:val="both"/>
        <w:rPr>
          <w:i/>
        </w:rPr>
      </w:pPr>
      <w:r>
        <w:rPr>
          <w:i/>
        </w:rPr>
        <w:t xml:space="preserve">If you are applying for a 30 credit exemption from the MSc External Influences on Educational Leadership module 2 submit a 1000 word response to the brief below. </w:t>
      </w:r>
    </w:p>
    <w:p w:rsidR="00AB7FFA" w:rsidRDefault="00AB7FFA" w:rsidP="00AB7FFA">
      <w:pPr>
        <w:pStyle w:val="Body"/>
        <w:jc w:val="both"/>
        <w:rPr>
          <w:rFonts w:asciiTheme="minorHAnsi" w:hAnsiTheme="minorHAnsi" w:cs="Arial"/>
          <w:b/>
          <w:i/>
          <w:lang w:val="en-US"/>
        </w:rPr>
      </w:pPr>
      <w:r>
        <w:rPr>
          <w:rFonts w:asciiTheme="minorHAnsi" w:hAnsiTheme="minorHAnsi" w:cs="Arial"/>
          <w:b/>
          <w:i/>
          <w:lang w:val="en-US"/>
        </w:rPr>
        <w:t>The brief</w:t>
      </w:r>
    </w:p>
    <w:p w:rsidR="00AB7FFA" w:rsidRDefault="00AB7FFA" w:rsidP="00AB7FFA">
      <w:pPr>
        <w:pStyle w:val="Body"/>
        <w:jc w:val="both"/>
        <w:rPr>
          <w:rFonts w:asciiTheme="minorHAnsi" w:hAnsiTheme="minorHAnsi" w:cs="Arial"/>
          <w:b/>
          <w:lang w:val="en-US"/>
        </w:rPr>
      </w:pPr>
    </w:p>
    <w:p w:rsidR="00AB7FFA" w:rsidRDefault="00AB7FFA" w:rsidP="00AB7FFA">
      <w:pPr>
        <w:pStyle w:val="Body"/>
        <w:jc w:val="both"/>
        <w:rPr>
          <w:rFonts w:asciiTheme="minorHAnsi" w:hAnsiTheme="minorHAnsi" w:cs="Arial"/>
        </w:rPr>
      </w:pPr>
      <w:r>
        <w:rPr>
          <w:rFonts w:asciiTheme="minorHAnsi" w:hAnsiTheme="minorHAnsi" w:cs="Arial"/>
          <w:b/>
          <w:lang w:val="en-US"/>
        </w:rPr>
        <w:t>Title:</w:t>
      </w:r>
      <w:r>
        <w:rPr>
          <w:rFonts w:asciiTheme="minorHAnsi" w:hAnsiTheme="minorHAnsi" w:cs="Arial"/>
          <w:lang w:val="en-US"/>
        </w:rPr>
        <w:t xml:space="preserve"> You will need to decide on a title appropriate for your developing assignment.</w:t>
      </w:r>
    </w:p>
    <w:p w:rsidR="00AB7FFA" w:rsidRDefault="00AB7FFA" w:rsidP="00AB7FFA">
      <w:pPr>
        <w:pStyle w:val="Body"/>
        <w:jc w:val="both"/>
        <w:rPr>
          <w:rFonts w:asciiTheme="minorHAnsi" w:hAnsiTheme="minorHAnsi" w:cs="Arial"/>
        </w:rPr>
      </w:pPr>
    </w:p>
    <w:p w:rsidR="00AB7FFA" w:rsidRDefault="00AB7FFA" w:rsidP="00AB7FFA">
      <w:pPr>
        <w:pStyle w:val="Body"/>
        <w:jc w:val="both"/>
        <w:rPr>
          <w:rFonts w:asciiTheme="minorHAnsi" w:hAnsiTheme="minorHAnsi" w:cs="Arial"/>
          <w:lang w:val="en-US"/>
        </w:rPr>
      </w:pPr>
      <w:r>
        <w:rPr>
          <w:rFonts w:asciiTheme="minorHAnsi" w:hAnsiTheme="minorHAnsi" w:cs="Arial"/>
          <w:b/>
          <w:lang w:val="en-US"/>
        </w:rPr>
        <w:t>Professional challenge:</w:t>
      </w:r>
      <w:r>
        <w:rPr>
          <w:rFonts w:asciiTheme="minorHAnsi" w:hAnsiTheme="minorHAnsi" w:cs="Arial"/>
          <w:lang w:val="en-US"/>
        </w:rPr>
        <w:t xml:space="preserve"> Outline your professional challenge, putting it into context by identifying your own particular role and interest in the topic (positioning yourself in the research) and discuss how it relates to the work of your </w:t>
      </w:r>
      <w:proofErr w:type="spellStart"/>
      <w:r>
        <w:rPr>
          <w:rFonts w:asciiTheme="minorHAnsi" w:hAnsiTheme="minorHAnsi" w:cs="Arial"/>
          <w:lang w:val="en-US"/>
        </w:rPr>
        <w:t>organisation</w:t>
      </w:r>
      <w:proofErr w:type="spellEnd"/>
      <w:r>
        <w:rPr>
          <w:rFonts w:asciiTheme="minorHAnsi" w:hAnsiTheme="minorHAnsi" w:cs="Arial"/>
          <w:lang w:val="en-US"/>
        </w:rPr>
        <w:t xml:space="preserve">. You should also refer to the significance of the challenge to you, your colleagues and your </w:t>
      </w:r>
      <w:proofErr w:type="spellStart"/>
      <w:r>
        <w:rPr>
          <w:rFonts w:asciiTheme="minorHAnsi" w:hAnsiTheme="minorHAnsi" w:cs="Arial"/>
          <w:lang w:val="en-US"/>
        </w:rPr>
        <w:t>organisation</w:t>
      </w:r>
      <w:proofErr w:type="spellEnd"/>
      <w:r>
        <w:rPr>
          <w:rFonts w:asciiTheme="minorHAnsi" w:hAnsiTheme="minorHAnsi" w:cs="Arial"/>
          <w:lang w:val="en-US"/>
        </w:rPr>
        <w:t>. It would also be useful to hear how this challenge relates to any wider reforms, initiatives or cultural issues (approx. 200 words).</w:t>
      </w:r>
    </w:p>
    <w:p w:rsidR="00AB7FFA" w:rsidRDefault="00AB7FFA" w:rsidP="00AB7FFA">
      <w:pPr>
        <w:pStyle w:val="Body"/>
        <w:jc w:val="both"/>
        <w:rPr>
          <w:rFonts w:asciiTheme="minorHAnsi" w:hAnsiTheme="minorHAnsi" w:cs="Arial"/>
          <w:lang w:val="en-US"/>
        </w:rPr>
      </w:pPr>
    </w:p>
    <w:p w:rsidR="00AB7FFA" w:rsidRDefault="00AB7FFA" w:rsidP="00AB7FFA">
      <w:pPr>
        <w:pStyle w:val="Body"/>
        <w:jc w:val="both"/>
        <w:rPr>
          <w:rFonts w:asciiTheme="minorHAnsi" w:hAnsiTheme="minorHAnsi" w:cs="Arial"/>
        </w:rPr>
      </w:pPr>
      <w:r>
        <w:rPr>
          <w:rFonts w:asciiTheme="minorHAnsi" w:hAnsiTheme="minorHAnsi" w:cs="Arial"/>
          <w:b/>
        </w:rPr>
        <w:t>Research questions:</w:t>
      </w:r>
      <w:r>
        <w:rPr>
          <w:rFonts w:asciiTheme="minorHAnsi" w:hAnsiTheme="minorHAnsi" w:cs="Arial"/>
        </w:rPr>
        <w:t xml:space="preserve"> Write three or four sharply focused research questions that address the professional challenge you have identified (approx. 200 words).</w:t>
      </w:r>
    </w:p>
    <w:p w:rsidR="00AB7FFA" w:rsidRDefault="00AB7FFA" w:rsidP="00AB7FFA">
      <w:pPr>
        <w:pStyle w:val="Body"/>
        <w:jc w:val="both"/>
        <w:rPr>
          <w:rFonts w:asciiTheme="minorHAnsi" w:hAnsiTheme="minorHAnsi" w:cs="Arial"/>
        </w:rPr>
      </w:pPr>
    </w:p>
    <w:p w:rsidR="00AB7FFA" w:rsidRDefault="00AB7FFA" w:rsidP="00AB7FFA">
      <w:pPr>
        <w:pStyle w:val="Body"/>
        <w:jc w:val="both"/>
        <w:rPr>
          <w:rFonts w:asciiTheme="minorHAnsi" w:hAnsiTheme="minorHAnsi" w:cs="Arial"/>
        </w:rPr>
      </w:pPr>
      <w:r>
        <w:rPr>
          <w:rFonts w:asciiTheme="minorHAnsi" w:hAnsiTheme="minorHAnsi" w:cs="Arial"/>
          <w:b/>
        </w:rPr>
        <w:t>Research approach:</w:t>
      </w:r>
      <w:r>
        <w:rPr>
          <w:rFonts w:asciiTheme="minorHAnsi" w:hAnsiTheme="minorHAnsi" w:cs="Arial"/>
        </w:rPr>
        <w:t xml:space="preserve"> Explain whether a positivist or </w:t>
      </w:r>
      <w:proofErr w:type="spellStart"/>
      <w:r>
        <w:rPr>
          <w:rFonts w:asciiTheme="minorHAnsi" w:hAnsiTheme="minorHAnsi" w:cs="Arial"/>
        </w:rPr>
        <w:t>interpretivist</w:t>
      </w:r>
      <w:proofErr w:type="spellEnd"/>
      <w:r>
        <w:rPr>
          <w:rFonts w:asciiTheme="minorHAnsi" w:hAnsiTheme="minorHAnsi" w:cs="Arial"/>
        </w:rPr>
        <w:t xml:space="preserve"> epistemological approach will be used, or a research design that draws from both to address your research questions. Use methodological literature to justify your choices. (approx. 200 words)</w:t>
      </w:r>
    </w:p>
    <w:p w:rsidR="00AB7FFA" w:rsidRDefault="00AB7FFA" w:rsidP="00AB7FFA">
      <w:pPr>
        <w:pStyle w:val="Body"/>
        <w:jc w:val="both"/>
        <w:rPr>
          <w:rFonts w:asciiTheme="minorHAnsi" w:hAnsiTheme="minorHAnsi" w:cs="Arial"/>
        </w:rPr>
      </w:pPr>
    </w:p>
    <w:p w:rsidR="00AB7FFA" w:rsidRDefault="00AB7FFA" w:rsidP="00AB7FFA">
      <w:pPr>
        <w:pStyle w:val="Body"/>
        <w:jc w:val="both"/>
        <w:rPr>
          <w:rFonts w:asciiTheme="minorHAnsi" w:hAnsiTheme="minorHAnsi" w:cs="Arial"/>
        </w:rPr>
      </w:pPr>
      <w:r>
        <w:rPr>
          <w:rFonts w:asciiTheme="minorHAnsi" w:hAnsiTheme="minorHAnsi" w:cs="Arial"/>
          <w:b/>
        </w:rPr>
        <w:t>Research strategy:</w:t>
      </w:r>
      <w:r>
        <w:rPr>
          <w:rFonts w:asciiTheme="minorHAnsi" w:hAnsiTheme="minorHAnsi" w:cs="Arial"/>
        </w:rPr>
        <w:t xml:space="preserve"> Select one research strategy </w:t>
      </w:r>
      <w:proofErr w:type="spellStart"/>
      <w:r>
        <w:rPr>
          <w:rFonts w:asciiTheme="minorHAnsi" w:hAnsiTheme="minorHAnsi" w:cs="Arial"/>
        </w:rPr>
        <w:t>eg</w:t>
      </w:r>
      <w:proofErr w:type="spellEnd"/>
      <w:r>
        <w:rPr>
          <w:rFonts w:asciiTheme="minorHAnsi" w:hAnsiTheme="minorHAnsi" w:cs="Arial"/>
        </w:rPr>
        <w:t xml:space="preserve">. </w:t>
      </w:r>
      <w:proofErr w:type="gramStart"/>
      <w:r>
        <w:rPr>
          <w:rFonts w:asciiTheme="minorHAnsi" w:hAnsiTheme="minorHAnsi" w:cs="Arial"/>
        </w:rPr>
        <w:t>case</w:t>
      </w:r>
      <w:proofErr w:type="gramEnd"/>
      <w:r>
        <w:rPr>
          <w:rFonts w:asciiTheme="minorHAnsi" w:hAnsiTheme="minorHAnsi" w:cs="Arial"/>
        </w:rPr>
        <w:t xml:space="preserve"> study, action research, survey, ethnography etc. which would be appropriate to address the research questions developed and use the methodological literature to justify your choice. (approx. 400 words)</w:t>
      </w:r>
    </w:p>
    <w:p w:rsidR="00AB7FFA" w:rsidRDefault="00AB7FFA" w:rsidP="00AB7FFA">
      <w:pPr>
        <w:pStyle w:val="Body"/>
        <w:jc w:val="both"/>
        <w:rPr>
          <w:rFonts w:asciiTheme="minorHAnsi" w:hAnsiTheme="minorHAnsi" w:cs="Arial"/>
          <w:lang w:val="en-US"/>
        </w:rPr>
      </w:pPr>
    </w:p>
    <w:p w:rsidR="00AB7FFA" w:rsidRDefault="00AB7FFA" w:rsidP="00AB7FFA">
      <w:pPr>
        <w:pStyle w:val="Body"/>
        <w:jc w:val="both"/>
        <w:rPr>
          <w:rFonts w:asciiTheme="minorHAnsi" w:hAnsiTheme="minorHAnsi" w:cs="Arial"/>
          <w:lang w:val="en-US"/>
        </w:rPr>
      </w:pPr>
      <w:r>
        <w:rPr>
          <w:rFonts w:asciiTheme="minorHAnsi" w:hAnsiTheme="minorHAnsi" w:cs="Arial"/>
          <w:b/>
          <w:lang w:val="en-US"/>
        </w:rPr>
        <w:t>References:</w:t>
      </w:r>
      <w:r>
        <w:rPr>
          <w:rFonts w:asciiTheme="minorHAnsi" w:hAnsiTheme="minorHAnsi" w:cs="Arial"/>
          <w:lang w:val="en-US"/>
        </w:rPr>
        <w:t xml:space="preserve"> For each piece of work cited, include a full reference in a reference list at the end of the journal entry. </w:t>
      </w:r>
    </w:p>
    <w:p w:rsidR="00AB7FFA" w:rsidRDefault="00AB7FFA" w:rsidP="00AB7FFA">
      <w:pPr>
        <w:pStyle w:val="Body"/>
        <w:jc w:val="both"/>
        <w:rPr>
          <w:rFonts w:asciiTheme="minorHAnsi" w:hAnsiTheme="minorHAnsi" w:cs="Arial"/>
          <w:lang w:val="en-US"/>
        </w:rPr>
      </w:pPr>
    </w:p>
    <w:p w:rsidR="00AB7FFA" w:rsidRDefault="00AB7FFA" w:rsidP="00AB7FFA">
      <w:pPr>
        <w:pStyle w:val="Body"/>
        <w:jc w:val="both"/>
        <w:rPr>
          <w:rFonts w:asciiTheme="minorHAnsi" w:hAnsiTheme="minorHAnsi" w:cs="Arial"/>
          <w:b/>
        </w:rPr>
      </w:pPr>
      <w:r>
        <w:rPr>
          <w:rFonts w:asciiTheme="minorHAnsi" w:hAnsiTheme="minorHAnsi" w:cs="Arial"/>
        </w:rPr>
        <w:t xml:space="preserve">The word limit is 1000 words +/- 10%. </w:t>
      </w:r>
      <w:r>
        <w:rPr>
          <w:rFonts w:asciiTheme="minorHAnsi" w:hAnsiTheme="minorHAnsi" w:cs="Arial"/>
          <w:b/>
        </w:rPr>
        <w:t>Please note: The word count of the reference list is IN ADDITION TO this word limit.</w:t>
      </w:r>
    </w:p>
    <w:p w:rsidR="00AB7FFA" w:rsidRDefault="00AB7FFA" w:rsidP="00AB7FFA">
      <w:pPr>
        <w:pStyle w:val="Body"/>
        <w:jc w:val="both"/>
        <w:rPr>
          <w:rFonts w:asciiTheme="minorHAnsi" w:hAnsiTheme="minorHAnsi" w:cs="Arial"/>
          <w:lang w:val="en-US"/>
        </w:rPr>
      </w:pPr>
    </w:p>
    <w:p w:rsidR="00AB7FFA" w:rsidRDefault="00AB7FFA" w:rsidP="00AB7FFA">
      <w:pPr>
        <w:jc w:val="both"/>
        <w:rPr>
          <w:b/>
          <w:i/>
          <w:lang w:val="en-US"/>
        </w:rPr>
      </w:pPr>
      <w:r>
        <w:rPr>
          <w:b/>
          <w:i/>
          <w:lang w:val="en-US"/>
        </w:rPr>
        <w:t>Finding literature sources</w:t>
      </w:r>
    </w:p>
    <w:p w:rsidR="00AB7FFA" w:rsidRDefault="00AB7FFA" w:rsidP="00AB7FFA">
      <w:pPr>
        <w:jc w:val="both"/>
        <w:rPr>
          <w:i/>
        </w:rPr>
      </w:pPr>
      <w:r>
        <w:rPr>
          <w:i/>
          <w:lang w:val="en-US"/>
        </w:rPr>
        <w:t xml:space="preserve">We appreciate that, prior to becoming a University </w:t>
      </w:r>
      <w:proofErr w:type="gramStart"/>
      <w:r>
        <w:rPr>
          <w:i/>
          <w:lang w:val="en-US"/>
        </w:rPr>
        <w:t>student,</w:t>
      </w:r>
      <w:proofErr w:type="gramEnd"/>
      <w:r>
        <w:rPr>
          <w:i/>
          <w:lang w:val="en-US"/>
        </w:rPr>
        <w:t xml:space="preserve"> you will not have full access to all available academic literature. We recommend some texts and parts of texts below. Google Scholar may also be useful: </w:t>
      </w:r>
      <w:hyperlink r:id="rId18" w:history="1">
        <w:r>
          <w:rPr>
            <w:rStyle w:val="Hyperlink"/>
            <w:i/>
            <w:lang w:val="en-US"/>
          </w:rPr>
          <w:t>http://scholar.google.co.uk/</w:t>
        </w:r>
      </w:hyperlink>
      <w:r>
        <w:rPr>
          <w:i/>
          <w:u w:val="single"/>
          <w:lang w:val="en-US"/>
        </w:rPr>
        <w:t xml:space="preserve">. </w:t>
      </w:r>
    </w:p>
    <w:p w:rsidR="00AB7FFA" w:rsidRDefault="00AB7FFA" w:rsidP="00AB7FFA">
      <w:pPr>
        <w:jc w:val="both"/>
        <w:rPr>
          <w:rStyle w:val="Hyperlink"/>
        </w:rPr>
      </w:pPr>
      <w:r>
        <w:rPr>
          <w:i/>
        </w:rPr>
        <w:t xml:space="preserve">Please refer to our writing styles tutorial, in particular with respect to referencing, available at: </w:t>
      </w:r>
      <w:hyperlink r:id="rId19" w:history="1">
        <w:r>
          <w:rPr>
            <w:rStyle w:val="Hyperlink"/>
            <w:i/>
          </w:rPr>
          <w:t>http://www.le.ac.uk/oerresources/ssds/writingskills/page_13.htm</w:t>
        </w:r>
      </w:hyperlink>
    </w:p>
    <w:p w:rsidR="00AB7FFA" w:rsidRDefault="00AB7FFA" w:rsidP="00AB7FFA">
      <w:pPr>
        <w:jc w:val="both"/>
        <w:rPr>
          <w:rFonts w:cs="Arial"/>
          <w:b/>
          <w:lang w:val="nl-NL"/>
        </w:rPr>
      </w:pPr>
    </w:p>
    <w:p w:rsidR="00AB7FFA" w:rsidRDefault="00AB7FFA" w:rsidP="00AB7FFA">
      <w:pPr>
        <w:jc w:val="both"/>
        <w:rPr>
          <w:rFonts w:cs="Arial"/>
          <w:b/>
          <w:i/>
          <w:lang w:val="nl-NL"/>
        </w:rPr>
      </w:pPr>
    </w:p>
    <w:p w:rsidR="00AB7FFA" w:rsidRDefault="00AB7FFA" w:rsidP="00AB7FFA">
      <w:pPr>
        <w:jc w:val="both"/>
        <w:rPr>
          <w:rFonts w:cs="Arial"/>
          <w:b/>
          <w:i/>
          <w:lang w:val="nl-NL"/>
        </w:rPr>
      </w:pPr>
    </w:p>
    <w:p w:rsidR="00AB7FFA" w:rsidRDefault="00AB7FFA" w:rsidP="00AB7FFA">
      <w:pPr>
        <w:jc w:val="both"/>
        <w:rPr>
          <w:rFonts w:cs="Arial"/>
          <w:b/>
          <w:i/>
          <w:lang w:val="nl-NL"/>
        </w:rPr>
      </w:pPr>
    </w:p>
    <w:p w:rsidR="00AB7FFA" w:rsidRDefault="00AB7FFA" w:rsidP="00AB7FFA">
      <w:pPr>
        <w:jc w:val="both"/>
        <w:rPr>
          <w:rFonts w:cs="Arial"/>
          <w:b/>
          <w:i/>
          <w:lang w:val="nl-NL"/>
        </w:rPr>
      </w:pPr>
    </w:p>
    <w:p w:rsidR="00AB7FFA" w:rsidRDefault="00AB7FFA" w:rsidP="00AB7FFA">
      <w:pPr>
        <w:jc w:val="both"/>
        <w:rPr>
          <w:b/>
          <w:i/>
        </w:rPr>
      </w:pPr>
      <w:r>
        <w:rPr>
          <w:rFonts w:cs="Arial"/>
          <w:b/>
          <w:i/>
          <w:lang w:val="nl-NL"/>
        </w:rPr>
        <w:lastRenderedPageBreak/>
        <w:t>Marking guide</w:t>
      </w:r>
    </w:p>
    <w:p w:rsidR="00AB7FFA" w:rsidRDefault="00AB7FFA" w:rsidP="00AB7FFA">
      <w:pPr>
        <w:pStyle w:val="Body"/>
        <w:jc w:val="both"/>
        <w:rPr>
          <w:rFonts w:asciiTheme="minorHAnsi" w:hAnsiTheme="minorHAnsi" w:cs="Arial"/>
        </w:rPr>
      </w:pPr>
      <w:r>
        <w:rPr>
          <w:rFonts w:asciiTheme="minorHAnsi" w:hAnsiTheme="minorHAnsi" w:cs="Arial"/>
          <w:lang w:val="en-US"/>
        </w:rPr>
        <w:t>A successfully completed task will show the following characteristics:</w:t>
      </w:r>
    </w:p>
    <w:p w:rsidR="00AB7FFA" w:rsidRDefault="00AB7FFA" w:rsidP="00AB7FFA">
      <w:pPr>
        <w:pStyle w:val="ListParagraph"/>
        <w:numPr>
          <w:ilvl w:val="0"/>
          <w:numId w:val="3"/>
        </w:numPr>
        <w:spacing w:before="100" w:beforeAutospacing="1"/>
        <w:ind w:right="-270"/>
        <w:jc w:val="both"/>
        <w:rPr>
          <w:rFonts w:eastAsia="Times New Roman" w:cs="Arial"/>
          <w:color w:val="000000"/>
          <w:lang w:eastAsia="en-GB"/>
        </w:rPr>
      </w:pPr>
      <w:r>
        <w:rPr>
          <w:rFonts w:eastAsia="Times New Roman" w:cs="Arial"/>
          <w:color w:val="000000"/>
          <w:lang w:eastAsia="en-GB"/>
        </w:rPr>
        <w:t xml:space="preserve">The title is clear and indicates the professional challenge to be addressed. </w:t>
      </w:r>
    </w:p>
    <w:p w:rsidR="00AB7FFA" w:rsidRDefault="00AB7FFA" w:rsidP="00AB7FFA">
      <w:pPr>
        <w:pStyle w:val="ListParagraph"/>
        <w:numPr>
          <w:ilvl w:val="0"/>
          <w:numId w:val="3"/>
        </w:numPr>
        <w:spacing w:before="100" w:beforeAutospacing="1"/>
        <w:ind w:right="-270"/>
        <w:jc w:val="both"/>
        <w:rPr>
          <w:rFonts w:eastAsia="Times New Roman" w:cs="Arial"/>
          <w:color w:val="000000"/>
          <w:lang w:eastAsia="en-GB"/>
        </w:rPr>
      </w:pPr>
      <w:r>
        <w:rPr>
          <w:rFonts w:eastAsia="Times New Roman" w:cs="Arial"/>
          <w:color w:val="000000"/>
          <w:lang w:eastAsia="en-GB"/>
        </w:rPr>
        <w:t>The context of the problem is clearly stated and where appropriate draws on policy analysis and the themes of the module External Influences on Educational Leadership.</w:t>
      </w:r>
    </w:p>
    <w:p w:rsidR="00AB7FFA" w:rsidRDefault="00AB7FFA" w:rsidP="00AB7FFA">
      <w:pPr>
        <w:pStyle w:val="ListParagraph"/>
        <w:numPr>
          <w:ilvl w:val="0"/>
          <w:numId w:val="3"/>
        </w:numPr>
        <w:spacing w:before="100" w:beforeAutospacing="1"/>
        <w:ind w:right="-270"/>
        <w:jc w:val="both"/>
        <w:rPr>
          <w:rFonts w:eastAsia="Times New Roman" w:cs="Arial"/>
          <w:color w:val="000000"/>
          <w:lang w:eastAsia="en-GB"/>
        </w:rPr>
      </w:pPr>
      <w:r>
        <w:rPr>
          <w:rFonts w:eastAsia="Times New Roman" w:cs="Arial"/>
          <w:color w:val="000000"/>
          <w:lang w:eastAsia="en-GB"/>
        </w:rPr>
        <w:t xml:space="preserve">Sharply focused research questions are presented. </w:t>
      </w:r>
    </w:p>
    <w:p w:rsidR="00AB7FFA" w:rsidRDefault="00AB7FFA" w:rsidP="00AB7FFA">
      <w:pPr>
        <w:pStyle w:val="ListParagraph"/>
        <w:numPr>
          <w:ilvl w:val="0"/>
          <w:numId w:val="3"/>
        </w:numPr>
        <w:spacing w:before="100" w:beforeAutospacing="1"/>
        <w:ind w:right="-270"/>
        <w:jc w:val="both"/>
        <w:rPr>
          <w:rFonts w:eastAsia="Times New Roman" w:cs="Arial"/>
          <w:color w:val="000000"/>
          <w:lang w:eastAsia="en-GB"/>
        </w:rPr>
      </w:pPr>
      <w:r>
        <w:rPr>
          <w:rFonts w:eastAsia="Times New Roman" w:cs="Arial"/>
          <w:color w:val="000000"/>
          <w:lang w:eastAsia="en-GB"/>
        </w:rPr>
        <w:t xml:space="preserve">The positivist and </w:t>
      </w:r>
      <w:proofErr w:type="spellStart"/>
      <w:r>
        <w:rPr>
          <w:rFonts w:eastAsia="Times New Roman" w:cs="Arial"/>
          <w:color w:val="000000"/>
          <w:lang w:eastAsia="en-GB"/>
        </w:rPr>
        <w:t>interpretivist</w:t>
      </w:r>
      <w:proofErr w:type="spellEnd"/>
      <w:r>
        <w:rPr>
          <w:rFonts w:eastAsia="Times New Roman" w:cs="Arial"/>
          <w:color w:val="000000"/>
          <w:lang w:eastAsia="en-GB"/>
        </w:rPr>
        <w:t xml:space="preserve"> epistemological approaches are briefly presented and an appropriate approach justified using the methodological literature. </w:t>
      </w:r>
    </w:p>
    <w:p w:rsidR="00AB7FFA" w:rsidRDefault="00AB7FFA" w:rsidP="00AB7FFA">
      <w:pPr>
        <w:pStyle w:val="ListParagraph"/>
        <w:numPr>
          <w:ilvl w:val="0"/>
          <w:numId w:val="3"/>
        </w:numPr>
        <w:spacing w:before="100" w:beforeAutospacing="1"/>
        <w:ind w:right="-270"/>
        <w:jc w:val="both"/>
        <w:rPr>
          <w:rFonts w:eastAsia="Times New Roman" w:cs="Arial"/>
          <w:color w:val="000000"/>
          <w:lang w:eastAsia="en-GB"/>
        </w:rPr>
      </w:pPr>
      <w:r>
        <w:rPr>
          <w:rFonts w:eastAsia="Times New Roman" w:cs="Arial"/>
          <w:color w:val="000000"/>
          <w:lang w:eastAsia="en-GB"/>
        </w:rPr>
        <w:t>The approach clearly demonstrates how it will enable he research questions to be addressed in a meaningful and coherent way.</w:t>
      </w:r>
    </w:p>
    <w:p w:rsidR="00AB7FFA" w:rsidRDefault="00AB7FFA" w:rsidP="00AB7FFA">
      <w:pPr>
        <w:pStyle w:val="ListParagraph"/>
        <w:numPr>
          <w:ilvl w:val="0"/>
          <w:numId w:val="3"/>
        </w:numPr>
        <w:spacing w:before="100" w:beforeAutospacing="1"/>
        <w:ind w:right="-270"/>
        <w:jc w:val="both"/>
        <w:rPr>
          <w:rFonts w:eastAsia="Times New Roman" w:cs="Arial"/>
          <w:color w:val="000000"/>
          <w:lang w:eastAsia="en-GB"/>
        </w:rPr>
      </w:pPr>
      <w:r>
        <w:rPr>
          <w:rFonts w:eastAsia="Times New Roman" w:cs="Arial"/>
          <w:color w:val="000000"/>
          <w:lang w:eastAsia="en-GB"/>
        </w:rPr>
        <w:t>The strategy (</w:t>
      </w:r>
      <w:proofErr w:type="spellStart"/>
      <w:r>
        <w:rPr>
          <w:rFonts w:eastAsia="Times New Roman" w:cs="Arial"/>
          <w:color w:val="000000"/>
          <w:lang w:eastAsia="en-GB"/>
        </w:rPr>
        <w:t>eg</w:t>
      </w:r>
      <w:proofErr w:type="spellEnd"/>
      <w:r>
        <w:rPr>
          <w:rFonts w:eastAsia="Times New Roman" w:cs="Arial"/>
          <w:color w:val="000000"/>
          <w:lang w:eastAsia="en-GB"/>
        </w:rPr>
        <w:t xml:space="preserve">. case study, action research or survey </w:t>
      </w:r>
      <w:proofErr w:type="spellStart"/>
      <w:r>
        <w:rPr>
          <w:rFonts w:eastAsia="Times New Roman" w:cs="Arial"/>
          <w:color w:val="000000"/>
          <w:lang w:eastAsia="en-GB"/>
        </w:rPr>
        <w:t>etc</w:t>
      </w:r>
      <w:proofErr w:type="spellEnd"/>
      <w:r>
        <w:rPr>
          <w:rFonts w:eastAsia="Times New Roman" w:cs="Arial"/>
          <w:color w:val="000000"/>
          <w:lang w:eastAsia="en-GB"/>
        </w:rPr>
        <w:t xml:space="preserve">) is outlined and </w:t>
      </w:r>
      <w:proofErr w:type="gramStart"/>
      <w:r>
        <w:rPr>
          <w:rFonts w:eastAsia="Times New Roman" w:cs="Arial"/>
          <w:color w:val="000000"/>
          <w:lang w:eastAsia="en-GB"/>
        </w:rPr>
        <w:t>justified,</w:t>
      </w:r>
      <w:proofErr w:type="gramEnd"/>
      <w:r>
        <w:rPr>
          <w:rFonts w:eastAsia="Times New Roman" w:cs="Arial"/>
          <w:color w:val="000000"/>
          <w:lang w:eastAsia="en-GB"/>
        </w:rPr>
        <w:t xml:space="preserve"> ensuring links to the approach, research questions and the professional challenge are made explicit.</w:t>
      </w:r>
    </w:p>
    <w:p w:rsidR="00AB7FFA" w:rsidRDefault="00AB7FFA" w:rsidP="00AB7FFA">
      <w:pPr>
        <w:pStyle w:val="ListParagraph"/>
        <w:numPr>
          <w:ilvl w:val="0"/>
          <w:numId w:val="3"/>
        </w:numPr>
        <w:spacing w:before="100" w:beforeAutospacing="1"/>
        <w:ind w:right="-270"/>
        <w:jc w:val="both"/>
        <w:rPr>
          <w:rFonts w:eastAsia="Times New Roman" w:cs="Arial"/>
          <w:color w:val="000000"/>
          <w:lang w:eastAsia="en-GB"/>
        </w:rPr>
      </w:pPr>
      <w:r>
        <w:rPr>
          <w:rFonts w:eastAsia="Times New Roman" w:cs="Arial"/>
          <w:color w:val="000000"/>
          <w:lang w:eastAsia="en-GB"/>
        </w:rPr>
        <w:t>The presentation of the strategy, with reference to its limitations and an awareness of other approaches are identified</w:t>
      </w:r>
    </w:p>
    <w:p w:rsidR="00AB7FFA" w:rsidRDefault="00AB7FFA" w:rsidP="00AB7FFA">
      <w:pPr>
        <w:pStyle w:val="ListParagraph"/>
        <w:numPr>
          <w:ilvl w:val="0"/>
          <w:numId w:val="3"/>
        </w:numPr>
        <w:spacing w:before="100" w:beforeAutospacing="1"/>
        <w:ind w:right="-270"/>
        <w:jc w:val="both"/>
        <w:rPr>
          <w:rFonts w:eastAsia="Times New Roman" w:cs="Arial"/>
          <w:color w:val="000000"/>
          <w:lang w:eastAsia="en-GB"/>
        </w:rPr>
      </w:pPr>
      <w:r>
        <w:rPr>
          <w:rFonts w:cs="Arial"/>
          <w:lang w:val="en-US"/>
        </w:rPr>
        <w:t>Accurate use of the Harvard referencing system to refer to cited published work</w:t>
      </w:r>
    </w:p>
    <w:p w:rsidR="00AB7FFA" w:rsidRDefault="00AB7FFA" w:rsidP="00AB7FFA">
      <w:pPr>
        <w:pStyle w:val="Body"/>
        <w:jc w:val="both"/>
        <w:rPr>
          <w:rFonts w:asciiTheme="minorHAnsi" w:hAnsiTheme="minorHAnsi" w:cs="Arial"/>
          <w:sz w:val="20"/>
          <w:szCs w:val="20"/>
          <w:lang w:val="en-US"/>
        </w:rPr>
      </w:pPr>
    </w:p>
    <w:p w:rsidR="00AB7FFA" w:rsidRDefault="00AB7FFA" w:rsidP="00AB7FFA">
      <w:pPr>
        <w:pStyle w:val="Body"/>
        <w:jc w:val="both"/>
        <w:rPr>
          <w:rFonts w:asciiTheme="minorHAnsi" w:hAnsiTheme="minorHAnsi" w:cs="Arial"/>
          <w:i/>
        </w:rPr>
      </w:pPr>
      <w:r>
        <w:rPr>
          <w:rFonts w:asciiTheme="minorHAnsi" w:hAnsiTheme="minorHAnsi" w:cs="Arial"/>
          <w:b/>
          <w:i/>
          <w:lang w:val="en-US"/>
        </w:rPr>
        <w:t>Recommended, but not essential, reading</w:t>
      </w:r>
    </w:p>
    <w:p w:rsidR="00AB7FFA" w:rsidRDefault="00AB7FFA" w:rsidP="00AB7FFA">
      <w:pPr>
        <w:pStyle w:val="Body"/>
        <w:jc w:val="both"/>
        <w:rPr>
          <w:rFonts w:asciiTheme="minorHAnsi" w:hAnsiTheme="minorHAnsi" w:cs="Arial"/>
          <w:b/>
          <w:sz w:val="20"/>
          <w:szCs w:val="20"/>
        </w:rPr>
      </w:pPr>
    </w:p>
    <w:p w:rsidR="00AB7FFA" w:rsidRDefault="00AB7FFA" w:rsidP="00AB7FFA">
      <w:pPr>
        <w:pStyle w:val="Body"/>
        <w:spacing w:after="120"/>
        <w:contextualSpacing/>
        <w:jc w:val="both"/>
        <w:rPr>
          <w:rFonts w:asciiTheme="minorHAnsi" w:hAnsiTheme="minorHAnsi" w:cs="Arial"/>
          <w:b/>
          <w:i/>
        </w:rPr>
      </w:pPr>
      <w:r>
        <w:rPr>
          <w:rFonts w:asciiTheme="minorHAnsi" w:hAnsiTheme="minorHAnsi" w:cs="Arial"/>
          <w:b/>
          <w:i/>
        </w:rPr>
        <w:t>Policy</w:t>
      </w:r>
    </w:p>
    <w:p w:rsidR="00AB7FFA" w:rsidRDefault="00AB7FFA" w:rsidP="00AB7FFA">
      <w:pPr>
        <w:pStyle w:val="Body"/>
        <w:spacing w:after="120"/>
        <w:contextualSpacing/>
        <w:jc w:val="both"/>
        <w:rPr>
          <w:rFonts w:asciiTheme="minorHAnsi" w:hAnsiTheme="minorHAnsi" w:cs="Arial"/>
          <w:b/>
          <w:sz w:val="20"/>
          <w:szCs w:val="20"/>
        </w:rPr>
      </w:pPr>
    </w:p>
    <w:p w:rsidR="00AB7FFA" w:rsidRDefault="00AB7FFA" w:rsidP="00AB7FFA">
      <w:pPr>
        <w:pStyle w:val="Body"/>
        <w:spacing w:after="120"/>
        <w:jc w:val="both"/>
        <w:rPr>
          <w:rFonts w:asciiTheme="minorHAnsi" w:hAnsiTheme="minorHAnsi" w:cs="Arial"/>
        </w:rPr>
      </w:pPr>
      <w:r>
        <w:rPr>
          <w:rFonts w:asciiTheme="minorHAnsi" w:hAnsiTheme="minorHAnsi" w:cs="Arial"/>
        </w:rPr>
        <w:t xml:space="preserve">Ball, S. J. (1998) Big Policies/Small World: An introduction to international perspectives in education policy, </w:t>
      </w:r>
      <w:r>
        <w:rPr>
          <w:rFonts w:asciiTheme="minorHAnsi" w:hAnsiTheme="minorHAnsi" w:cs="Arial"/>
          <w:i/>
          <w:iCs/>
        </w:rPr>
        <w:t>Comparative Education</w:t>
      </w:r>
      <w:r>
        <w:rPr>
          <w:rFonts w:asciiTheme="minorHAnsi" w:hAnsiTheme="minorHAnsi" w:cs="Arial"/>
        </w:rPr>
        <w:t xml:space="preserve">, 34(2): 119-130. Available at </w:t>
      </w:r>
      <w:hyperlink r:id="rId20" w:history="1">
        <w:r>
          <w:rPr>
            <w:rStyle w:val="Hyperlink"/>
            <w:rFonts w:asciiTheme="minorHAnsi" w:hAnsiTheme="minorHAnsi" w:cs="Arial"/>
          </w:rPr>
          <w:t>http://www.tandfonline.com/doi/pdf/10.1080/03050069828225</w:t>
        </w:r>
      </w:hyperlink>
      <w:r>
        <w:rPr>
          <w:rFonts w:asciiTheme="minorHAnsi" w:hAnsiTheme="minorHAnsi" w:cs="Arial"/>
        </w:rPr>
        <w:t xml:space="preserve"> downloaded 22 April 2015.</w:t>
      </w:r>
    </w:p>
    <w:p w:rsidR="00AB7FFA" w:rsidRDefault="00AB7FFA" w:rsidP="00AB7FFA">
      <w:pPr>
        <w:pStyle w:val="Body"/>
        <w:spacing w:after="120"/>
        <w:jc w:val="both"/>
        <w:rPr>
          <w:rFonts w:asciiTheme="minorHAnsi" w:hAnsiTheme="minorHAnsi" w:cs="Arial"/>
        </w:rPr>
      </w:pPr>
      <w:r>
        <w:rPr>
          <w:rFonts w:asciiTheme="minorHAnsi" w:eastAsia="Times New Roman" w:hAnsiTheme="minorHAnsi" w:cs="Arial"/>
        </w:rPr>
        <w:t xml:space="preserve">Bell, L. and Stevenson, H. (2006) </w:t>
      </w:r>
      <w:r>
        <w:rPr>
          <w:rFonts w:asciiTheme="minorHAnsi" w:eastAsia="Times New Roman" w:hAnsiTheme="minorHAnsi" w:cs="Arial"/>
          <w:i/>
          <w:iCs/>
        </w:rPr>
        <w:t>Education Policy: Process, Themes and Impact,</w:t>
      </w:r>
      <w:r>
        <w:rPr>
          <w:rFonts w:asciiTheme="minorHAnsi" w:eastAsia="Times New Roman" w:hAnsiTheme="minorHAnsi" w:cs="Arial"/>
        </w:rPr>
        <w:t xml:space="preserve"> London: Routledge </w:t>
      </w:r>
      <w:proofErr w:type="spellStart"/>
      <w:r>
        <w:rPr>
          <w:rFonts w:asciiTheme="minorHAnsi" w:eastAsia="Times New Roman" w:hAnsiTheme="minorHAnsi" w:cs="Arial"/>
        </w:rPr>
        <w:t>Falmer</w:t>
      </w:r>
      <w:proofErr w:type="spellEnd"/>
      <w:r>
        <w:rPr>
          <w:rFonts w:asciiTheme="minorHAnsi" w:eastAsia="Times New Roman" w:hAnsiTheme="minorHAnsi" w:cs="Arial"/>
        </w:rPr>
        <w:t xml:space="preserve">. </w:t>
      </w:r>
    </w:p>
    <w:p w:rsidR="00AB7FFA" w:rsidRDefault="00AB7FFA" w:rsidP="00AB7FFA">
      <w:pPr>
        <w:pStyle w:val="Body"/>
        <w:spacing w:after="120"/>
        <w:jc w:val="both"/>
        <w:rPr>
          <w:rFonts w:asciiTheme="minorHAnsi" w:eastAsia="Times New Roman" w:hAnsiTheme="minorHAnsi" w:cs="Arial"/>
        </w:rPr>
      </w:pPr>
      <w:proofErr w:type="spellStart"/>
      <w:r>
        <w:rPr>
          <w:rFonts w:asciiTheme="minorHAnsi" w:eastAsia="Times New Roman" w:hAnsiTheme="minorHAnsi" w:cs="Arial"/>
        </w:rPr>
        <w:t>Breakspear</w:t>
      </w:r>
      <w:proofErr w:type="spellEnd"/>
      <w:r>
        <w:rPr>
          <w:rFonts w:asciiTheme="minorHAnsi" w:eastAsia="Times New Roman" w:hAnsiTheme="minorHAnsi" w:cs="Arial"/>
        </w:rPr>
        <w:t xml:space="preserve">, S. (2012) The Policy Impact of PISA: An Exploration of the Normative Effects of International Benchmarking in School System Performance, </w:t>
      </w:r>
      <w:r>
        <w:rPr>
          <w:rFonts w:asciiTheme="minorHAnsi" w:eastAsia="Times New Roman" w:hAnsiTheme="minorHAnsi" w:cs="Arial"/>
          <w:i/>
        </w:rPr>
        <w:t>OECD Education Working Papers</w:t>
      </w:r>
      <w:r>
        <w:rPr>
          <w:rFonts w:asciiTheme="minorHAnsi" w:eastAsia="Times New Roman" w:hAnsiTheme="minorHAnsi" w:cs="Arial"/>
        </w:rPr>
        <w:t xml:space="preserve"> No. 71, OECD Publishing. Available at: </w:t>
      </w:r>
      <w:hyperlink r:id="rId21" w:history="1">
        <w:r>
          <w:rPr>
            <w:rStyle w:val="Hyperlink"/>
            <w:rFonts w:asciiTheme="minorHAnsi" w:eastAsia="Times New Roman" w:hAnsiTheme="minorHAnsi" w:cs="Arial"/>
          </w:rPr>
          <w:t>http://www.oecd-ilibrary.org/education/the-policy-impact-of-pisa_5k9fdfqffr28-en</w:t>
        </w:r>
      </w:hyperlink>
      <w:r>
        <w:rPr>
          <w:rFonts w:asciiTheme="minorHAnsi" w:eastAsia="Times New Roman" w:hAnsiTheme="minorHAnsi" w:cs="Arial"/>
        </w:rPr>
        <w:t xml:space="preserve"> accessed 22 April 2015.</w:t>
      </w:r>
    </w:p>
    <w:p w:rsidR="00AB7FFA" w:rsidRDefault="00AB7FFA" w:rsidP="00AB7FFA">
      <w:pPr>
        <w:pStyle w:val="Body"/>
        <w:spacing w:after="120"/>
        <w:jc w:val="both"/>
        <w:rPr>
          <w:rFonts w:asciiTheme="minorHAnsi" w:eastAsia="Times New Roman" w:hAnsiTheme="minorHAnsi" w:cs="Arial"/>
          <w:color w:val="00748B"/>
          <w:u w:val="single"/>
        </w:rPr>
      </w:pPr>
      <w:r>
        <w:rPr>
          <w:rFonts w:asciiTheme="minorHAnsi" w:hAnsiTheme="minorHAnsi" w:cs="Arial"/>
        </w:rPr>
        <w:t>Taysum, A. and Iqbal, M. (2012) What counts as worthwhile policy analysis</w:t>
      </w:r>
      <w:proofErr w:type="gramStart"/>
      <w:r>
        <w:rPr>
          <w:rFonts w:asciiTheme="minorHAnsi" w:hAnsiTheme="minorHAnsi" w:cs="Arial"/>
        </w:rPr>
        <w:t>?,</w:t>
      </w:r>
      <w:proofErr w:type="gramEnd"/>
      <w:r>
        <w:rPr>
          <w:rFonts w:asciiTheme="minorHAnsi" w:hAnsiTheme="minorHAnsi" w:cs="Arial"/>
        </w:rPr>
        <w:t xml:space="preserve"> </w:t>
      </w:r>
      <w:r>
        <w:rPr>
          <w:rStyle w:val="Emphasis"/>
          <w:rFonts w:asciiTheme="minorHAnsi" w:hAnsiTheme="minorHAnsi" w:cs="Arial"/>
        </w:rPr>
        <w:t>Italian Journal of the Sociology of Education</w:t>
      </w:r>
      <w:r>
        <w:rPr>
          <w:rFonts w:asciiTheme="minorHAnsi" w:hAnsiTheme="minorHAnsi" w:cs="Arial"/>
        </w:rPr>
        <w:t xml:space="preserve">, 10(1).  </w:t>
      </w:r>
      <w:r>
        <w:rPr>
          <w:rFonts w:asciiTheme="minorHAnsi" w:eastAsia="Times New Roman" w:hAnsiTheme="minorHAnsi" w:cs="Arial"/>
        </w:rPr>
        <w:t xml:space="preserve">You can access this journal at the following link: </w:t>
      </w:r>
      <w:hyperlink r:id="rId22" w:tgtFrame="_blank" w:history="1">
        <w:r>
          <w:rPr>
            <w:rStyle w:val="Hyperlink"/>
            <w:rFonts w:asciiTheme="minorHAnsi" w:eastAsia="Times New Roman" w:hAnsiTheme="minorHAnsi" w:cs="Arial"/>
            <w:color w:val="00748B"/>
          </w:rPr>
          <w:t>http://www.ijse.eu/vol-4-no-1-2012-learning-from-international-educational-policies-to-move-towards-sustainable-living-for-all/</w:t>
        </w:r>
      </w:hyperlink>
    </w:p>
    <w:p w:rsidR="00AB7FFA" w:rsidRDefault="00AB7FFA" w:rsidP="00AB7FFA">
      <w:pPr>
        <w:pStyle w:val="Body"/>
        <w:spacing w:after="120"/>
        <w:jc w:val="both"/>
        <w:rPr>
          <w:rStyle w:val="Hyperlink"/>
          <w:color w:val="000000"/>
          <w:u w:val="none"/>
        </w:rPr>
      </w:pPr>
      <w:r>
        <w:rPr>
          <w:rFonts w:asciiTheme="minorHAnsi" w:eastAsia="Times New Roman" w:hAnsiTheme="minorHAnsi" w:cs="Arial"/>
          <w:i/>
        </w:rPr>
        <w:t>The Italian Journal of the Sociology of Education</w:t>
      </w:r>
      <w:r>
        <w:rPr>
          <w:rFonts w:asciiTheme="minorHAnsi" w:eastAsia="Times New Roman" w:hAnsiTheme="minorHAnsi" w:cs="Arial"/>
        </w:rPr>
        <w:t xml:space="preserve"> (2014) Special issue ‘Learning from International Education Policies to move towards education systems that facilitate sustainable full economic, culture and political participation. You can access this journal at the following link: </w:t>
      </w:r>
      <w:hyperlink r:id="rId23" w:history="1">
        <w:r>
          <w:rPr>
            <w:rStyle w:val="Hyperlink"/>
            <w:rFonts w:asciiTheme="minorHAnsi" w:eastAsia="Times New Roman" w:hAnsiTheme="minorHAnsi" w:cs="Arial"/>
          </w:rPr>
          <w:t>http://www.ijse.eu/vol-6-2-2014-learning-international-education-policies-move-towards-education-systems-facilitate-sustainable-full-economic-cultural-political-participation/</w:t>
        </w:r>
      </w:hyperlink>
    </w:p>
    <w:p w:rsidR="00AB7FFA" w:rsidRDefault="00AB7FFA" w:rsidP="00AB7FFA">
      <w:pPr>
        <w:spacing w:before="100" w:beforeAutospacing="1" w:after="120" w:line="240" w:lineRule="auto"/>
        <w:ind w:right="-270"/>
        <w:contextualSpacing/>
        <w:jc w:val="both"/>
        <w:rPr>
          <w:rFonts w:eastAsia="Times New Roman"/>
          <w:b/>
          <w:i/>
          <w:lang w:eastAsia="en-GB"/>
        </w:rPr>
      </w:pPr>
      <w:r>
        <w:rPr>
          <w:rFonts w:eastAsia="Times New Roman" w:cs="Arial"/>
          <w:b/>
          <w:i/>
          <w:color w:val="000000"/>
          <w:lang w:eastAsia="en-GB"/>
        </w:rPr>
        <w:t>Research Design</w:t>
      </w:r>
    </w:p>
    <w:p w:rsidR="00AB7FFA" w:rsidRDefault="00AB7FFA" w:rsidP="00AB7FFA">
      <w:pPr>
        <w:spacing w:before="100" w:beforeAutospacing="1" w:after="120" w:line="240" w:lineRule="auto"/>
        <w:ind w:right="-270"/>
        <w:contextualSpacing/>
        <w:jc w:val="both"/>
        <w:rPr>
          <w:rFonts w:eastAsia="Times New Roman" w:cs="Arial"/>
          <w:b/>
          <w:i/>
          <w:color w:val="000000"/>
          <w:lang w:eastAsia="en-GB"/>
        </w:rPr>
      </w:pPr>
    </w:p>
    <w:p w:rsidR="00AB7FFA" w:rsidRDefault="00AB7FFA" w:rsidP="00AB7FFA">
      <w:pPr>
        <w:spacing w:after="120" w:line="240" w:lineRule="auto"/>
        <w:ind w:right="-272"/>
        <w:jc w:val="both"/>
        <w:rPr>
          <w:rFonts w:eastAsia="Times New Roman" w:cs="Arial"/>
          <w:b/>
          <w:i/>
          <w:color w:val="000000"/>
          <w:lang w:eastAsia="en-GB"/>
        </w:rPr>
      </w:pPr>
      <w:r>
        <w:rPr>
          <w:rFonts w:eastAsia="Times New Roman" w:cs="Arial"/>
          <w:color w:val="000000"/>
          <w:lang w:eastAsia="en-GB"/>
        </w:rPr>
        <w:t xml:space="preserve">Bell, J. (2005) </w:t>
      </w:r>
      <w:r>
        <w:rPr>
          <w:rFonts w:eastAsia="Times New Roman" w:cs="Arial"/>
          <w:i/>
          <w:color w:val="000000"/>
          <w:lang w:eastAsia="en-GB"/>
        </w:rPr>
        <w:t>Approaches to Research in Doing Your Research Project</w:t>
      </w:r>
      <w:r>
        <w:rPr>
          <w:rFonts w:eastAsia="Times New Roman" w:cs="Arial"/>
          <w:color w:val="000000"/>
          <w:lang w:eastAsia="en-GB"/>
        </w:rPr>
        <w:t xml:space="preserve"> (4</w:t>
      </w:r>
      <w:r>
        <w:rPr>
          <w:rFonts w:eastAsia="Times New Roman" w:cs="Arial"/>
          <w:color w:val="000000"/>
          <w:vertAlign w:val="superscript"/>
          <w:lang w:eastAsia="en-GB"/>
        </w:rPr>
        <w:t>th</w:t>
      </w:r>
      <w:r>
        <w:rPr>
          <w:rFonts w:eastAsia="Times New Roman" w:cs="Arial"/>
          <w:color w:val="000000"/>
          <w:lang w:eastAsia="en-GB"/>
        </w:rPr>
        <w:t xml:space="preserve"> </w:t>
      </w:r>
      <w:proofErr w:type="spellStart"/>
      <w:proofErr w:type="gramStart"/>
      <w:r>
        <w:rPr>
          <w:rFonts w:eastAsia="Times New Roman" w:cs="Arial"/>
          <w:color w:val="000000"/>
          <w:lang w:eastAsia="en-GB"/>
        </w:rPr>
        <w:t>ed</w:t>
      </w:r>
      <w:proofErr w:type="spellEnd"/>
      <w:proofErr w:type="gramEnd"/>
      <w:r>
        <w:rPr>
          <w:rFonts w:eastAsia="Times New Roman" w:cs="Arial"/>
          <w:color w:val="000000"/>
          <w:lang w:eastAsia="en-GB"/>
        </w:rPr>
        <w:t>), Maidenhead: Open University Press, pp. 7-27.</w:t>
      </w:r>
    </w:p>
    <w:p w:rsidR="00AB7FFA" w:rsidRDefault="00AB7FFA" w:rsidP="00AB7FFA">
      <w:pPr>
        <w:spacing w:after="120" w:line="240" w:lineRule="auto"/>
        <w:ind w:right="-272"/>
        <w:jc w:val="both"/>
        <w:rPr>
          <w:rFonts w:eastAsia="Times New Roman" w:cs="Arial"/>
          <w:color w:val="000000"/>
          <w:lang w:eastAsia="en-GB"/>
        </w:rPr>
      </w:pPr>
      <w:r>
        <w:rPr>
          <w:rFonts w:eastAsia="Times New Roman" w:cs="Arial"/>
          <w:color w:val="000000"/>
          <w:lang w:eastAsia="en-GB"/>
        </w:rPr>
        <w:t xml:space="preserve">Cohen, L., </w:t>
      </w:r>
      <w:proofErr w:type="spellStart"/>
      <w:r>
        <w:rPr>
          <w:rFonts w:eastAsia="Times New Roman" w:cs="Arial"/>
          <w:color w:val="000000"/>
          <w:lang w:eastAsia="en-GB"/>
        </w:rPr>
        <w:t>Manion</w:t>
      </w:r>
      <w:proofErr w:type="spellEnd"/>
      <w:r>
        <w:rPr>
          <w:rFonts w:eastAsia="Times New Roman" w:cs="Arial"/>
          <w:color w:val="000000"/>
          <w:lang w:eastAsia="en-GB"/>
        </w:rPr>
        <w:t xml:space="preserve">, L., and Morrison, K. (2001) Part 2 Planning Educational and Social </w:t>
      </w:r>
      <w:proofErr w:type="gramStart"/>
      <w:r>
        <w:rPr>
          <w:rFonts w:eastAsia="Times New Roman" w:cs="Arial"/>
          <w:color w:val="000000"/>
          <w:lang w:eastAsia="en-GB"/>
        </w:rPr>
        <w:t>Research</w:t>
      </w:r>
      <w:proofErr w:type="gramEnd"/>
      <w:r>
        <w:rPr>
          <w:rFonts w:eastAsia="Times New Roman" w:cs="Arial"/>
          <w:color w:val="000000"/>
          <w:lang w:eastAsia="en-GB"/>
        </w:rPr>
        <w:t xml:space="preserve">, in </w:t>
      </w:r>
      <w:r>
        <w:rPr>
          <w:rFonts w:eastAsia="Times New Roman" w:cs="Arial"/>
          <w:i/>
          <w:color w:val="000000"/>
          <w:lang w:eastAsia="en-GB"/>
        </w:rPr>
        <w:t>Research Methods in Education</w:t>
      </w:r>
      <w:r>
        <w:rPr>
          <w:rFonts w:eastAsia="Times New Roman" w:cs="Arial"/>
          <w:color w:val="000000"/>
          <w:lang w:eastAsia="en-GB"/>
        </w:rPr>
        <w:t>. London: Routledge, pp. 49-91.</w:t>
      </w:r>
    </w:p>
    <w:p w:rsidR="00AB7FFA" w:rsidRDefault="00AB7FFA" w:rsidP="00AB7FFA">
      <w:pPr>
        <w:spacing w:after="120" w:line="240" w:lineRule="auto"/>
        <w:ind w:right="-272"/>
        <w:jc w:val="both"/>
        <w:rPr>
          <w:rFonts w:eastAsia="Times New Roman" w:cs="Arial"/>
          <w:color w:val="000000"/>
          <w:lang w:eastAsia="en-GB"/>
        </w:rPr>
      </w:pPr>
      <w:proofErr w:type="spellStart"/>
      <w:r>
        <w:rPr>
          <w:rFonts w:eastAsia="Times New Roman" w:cs="Arial"/>
          <w:color w:val="000000"/>
          <w:lang w:eastAsia="en-GB"/>
        </w:rPr>
        <w:lastRenderedPageBreak/>
        <w:t>Hartas</w:t>
      </w:r>
      <w:proofErr w:type="spellEnd"/>
      <w:r>
        <w:rPr>
          <w:rFonts w:eastAsia="Times New Roman" w:cs="Arial"/>
          <w:color w:val="000000"/>
          <w:lang w:eastAsia="en-GB"/>
        </w:rPr>
        <w:t xml:space="preserve">, D. (2010) </w:t>
      </w:r>
      <w:proofErr w:type="gramStart"/>
      <w:r>
        <w:rPr>
          <w:rFonts w:eastAsia="Times New Roman" w:cs="Arial"/>
          <w:color w:val="000000"/>
          <w:lang w:eastAsia="en-GB"/>
        </w:rPr>
        <w:t>The</w:t>
      </w:r>
      <w:proofErr w:type="gramEnd"/>
      <w:r>
        <w:rPr>
          <w:rFonts w:eastAsia="Times New Roman" w:cs="Arial"/>
          <w:color w:val="000000"/>
          <w:lang w:eastAsia="en-GB"/>
        </w:rPr>
        <w:t xml:space="preserve"> Epistemological Context of Qualitative and Quantitative Research in </w:t>
      </w:r>
      <w:proofErr w:type="spellStart"/>
      <w:r>
        <w:rPr>
          <w:rFonts w:eastAsia="Times New Roman" w:cs="Arial"/>
          <w:color w:val="000000"/>
          <w:lang w:eastAsia="en-GB"/>
        </w:rPr>
        <w:t>Hartas</w:t>
      </w:r>
      <w:proofErr w:type="spellEnd"/>
      <w:r>
        <w:rPr>
          <w:rFonts w:eastAsia="Times New Roman" w:cs="Arial"/>
          <w:color w:val="000000"/>
          <w:lang w:eastAsia="en-GB"/>
        </w:rPr>
        <w:t xml:space="preserve">, D. (Ed.) </w:t>
      </w:r>
      <w:r>
        <w:rPr>
          <w:rFonts w:eastAsia="Times New Roman" w:cs="Arial"/>
          <w:i/>
          <w:color w:val="000000"/>
          <w:lang w:eastAsia="en-GB"/>
        </w:rPr>
        <w:t>Educational Research and Inquiry: Qualitative and Quantitative Approaches</w:t>
      </w:r>
      <w:r>
        <w:rPr>
          <w:rFonts w:eastAsia="Times New Roman" w:cs="Arial"/>
          <w:color w:val="000000"/>
          <w:lang w:eastAsia="en-GB"/>
        </w:rPr>
        <w:t>, London: Continuum, pp. 33 – 53.</w:t>
      </w:r>
    </w:p>
    <w:p w:rsidR="00AB7FFA" w:rsidRDefault="00AB7FFA" w:rsidP="00AB7FFA">
      <w:pPr>
        <w:spacing w:after="120" w:line="240" w:lineRule="auto"/>
        <w:ind w:right="-272"/>
        <w:jc w:val="both"/>
        <w:rPr>
          <w:rFonts w:eastAsia="Times New Roman" w:cs="Arial"/>
          <w:color w:val="000000"/>
          <w:lang w:eastAsia="en-GB"/>
        </w:rPr>
      </w:pPr>
      <w:r>
        <w:rPr>
          <w:rFonts w:eastAsia="Times New Roman" w:cs="Arial"/>
          <w:color w:val="000000"/>
          <w:lang w:eastAsia="en-GB"/>
        </w:rPr>
        <w:t xml:space="preserve">Thomas, G. (2009) The Design Frame, Chapter 6 in </w:t>
      </w:r>
      <w:r>
        <w:rPr>
          <w:rFonts w:eastAsia="Times New Roman" w:cs="Arial"/>
          <w:i/>
          <w:color w:val="000000"/>
          <w:lang w:eastAsia="en-GB"/>
        </w:rPr>
        <w:t>How to do your Research Project</w:t>
      </w:r>
      <w:r>
        <w:rPr>
          <w:rFonts w:eastAsia="Times New Roman" w:cs="Arial"/>
          <w:color w:val="000000"/>
          <w:lang w:eastAsia="en-GB"/>
        </w:rPr>
        <w:t>, London: Sage, pp. 99 – 145.</w:t>
      </w:r>
    </w:p>
    <w:p w:rsidR="00AB7FFA" w:rsidRDefault="00AB7FFA" w:rsidP="00AB7FFA">
      <w:pPr>
        <w:spacing w:after="120" w:line="240" w:lineRule="auto"/>
        <w:ind w:right="-272"/>
        <w:jc w:val="both"/>
        <w:rPr>
          <w:rFonts w:eastAsia="Times New Roman" w:cs="Arial"/>
          <w:color w:val="000000"/>
          <w:lang w:eastAsia="en-GB"/>
        </w:rPr>
      </w:pPr>
      <w:proofErr w:type="gramStart"/>
      <w:r>
        <w:rPr>
          <w:rFonts w:eastAsia="Times New Roman" w:cs="Arial"/>
          <w:color w:val="000000"/>
          <w:lang w:eastAsia="en-GB"/>
        </w:rPr>
        <w:t xml:space="preserve">Wilson, E.G. (Ed.) </w:t>
      </w:r>
      <w:r>
        <w:rPr>
          <w:rFonts w:eastAsia="Times New Roman" w:cs="Arial"/>
          <w:i/>
          <w:color w:val="000000"/>
          <w:lang w:eastAsia="en-GB"/>
        </w:rPr>
        <w:t>School-based Research</w:t>
      </w:r>
      <w:r>
        <w:rPr>
          <w:rFonts w:eastAsia="Times New Roman" w:cs="Arial"/>
          <w:color w:val="000000"/>
          <w:lang w:eastAsia="en-GB"/>
        </w:rPr>
        <w:t>, London: Sage.</w:t>
      </w:r>
      <w:proofErr w:type="gramEnd"/>
    </w:p>
    <w:p w:rsidR="003D2EEA" w:rsidRDefault="003D2EEA">
      <w:bookmarkStart w:id="0" w:name="_GoBack"/>
      <w:bookmarkEnd w:id="0"/>
    </w:p>
    <w:sectPr w:rsidR="003D2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36457"/>
    <w:multiLevelType w:val="multilevel"/>
    <w:tmpl w:val="3F5E5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5DE24AE"/>
    <w:multiLevelType w:val="hybridMultilevel"/>
    <w:tmpl w:val="B9CC8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75E04CC"/>
    <w:multiLevelType w:val="hybridMultilevel"/>
    <w:tmpl w:val="7174E85E"/>
    <w:lvl w:ilvl="0" w:tplc="EE7ED790">
      <w:numFmt w:val="bullet"/>
      <w:lvlText w:val="•"/>
      <w:lvlJc w:val="left"/>
      <w:pPr>
        <w:ind w:left="927" w:hanging="360"/>
      </w:pPr>
      <w:rPr>
        <w:rFonts w:ascii="Calibri" w:eastAsiaTheme="minorHAnsi" w:hAnsi="Calibri" w:cs="Aria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FA"/>
    <w:rsid w:val="000B0224"/>
    <w:rsid w:val="003D2EEA"/>
    <w:rsid w:val="00AB7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F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7FFA"/>
    <w:rPr>
      <w:color w:val="0000FF" w:themeColor="hyperlink"/>
      <w:u w:val="single"/>
    </w:rPr>
  </w:style>
  <w:style w:type="paragraph" w:styleId="ListParagraph">
    <w:name w:val="List Paragraph"/>
    <w:basedOn w:val="Normal"/>
    <w:uiPriority w:val="34"/>
    <w:qFormat/>
    <w:rsid w:val="00AB7FFA"/>
    <w:pPr>
      <w:ind w:left="720"/>
      <w:contextualSpacing/>
    </w:pPr>
  </w:style>
  <w:style w:type="paragraph" w:customStyle="1" w:styleId="Body">
    <w:name w:val="Body"/>
    <w:rsid w:val="00AB7FFA"/>
    <w:rPr>
      <w:rFonts w:ascii="Helvetica" w:eastAsia="Arial Unicode MS" w:hAnsi="Arial Unicode MS" w:cs="Arial Unicode MS"/>
      <w:color w:val="000000"/>
      <w:lang w:eastAsia="en-GB"/>
    </w:rPr>
  </w:style>
  <w:style w:type="paragraph" w:customStyle="1" w:styleId="Default">
    <w:name w:val="Default"/>
    <w:rsid w:val="00AB7FFA"/>
    <w:pPr>
      <w:autoSpaceDE w:val="0"/>
      <w:autoSpaceDN w:val="0"/>
      <w:adjustRightInd w:val="0"/>
    </w:pPr>
    <w:rPr>
      <w:rFonts w:ascii="Calibri" w:eastAsia="Arial Unicode MS" w:hAnsi="Calibri" w:cs="Calibri"/>
      <w:color w:val="000000"/>
      <w:sz w:val="24"/>
      <w:szCs w:val="24"/>
      <w:lang w:eastAsia="en-GB"/>
    </w:rPr>
  </w:style>
  <w:style w:type="table" w:styleId="TableGrid">
    <w:name w:val="Table Grid"/>
    <w:basedOn w:val="TableNormal"/>
    <w:uiPriority w:val="59"/>
    <w:rsid w:val="00AB7FFA"/>
    <w:rPr>
      <w:rFonts w:ascii="Times New Roman" w:eastAsia="Arial Unicode MS"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B7F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F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7FFA"/>
    <w:rPr>
      <w:color w:val="0000FF" w:themeColor="hyperlink"/>
      <w:u w:val="single"/>
    </w:rPr>
  </w:style>
  <w:style w:type="paragraph" w:styleId="ListParagraph">
    <w:name w:val="List Paragraph"/>
    <w:basedOn w:val="Normal"/>
    <w:uiPriority w:val="34"/>
    <w:qFormat/>
    <w:rsid w:val="00AB7FFA"/>
    <w:pPr>
      <w:ind w:left="720"/>
      <w:contextualSpacing/>
    </w:pPr>
  </w:style>
  <w:style w:type="paragraph" w:customStyle="1" w:styleId="Body">
    <w:name w:val="Body"/>
    <w:rsid w:val="00AB7FFA"/>
    <w:rPr>
      <w:rFonts w:ascii="Helvetica" w:eastAsia="Arial Unicode MS" w:hAnsi="Arial Unicode MS" w:cs="Arial Unicode MS"/>
      <w:color w:val="000000"/>
      <w:lang w:eastAsia="en-GB"/>
    </w:rPr>
  </w:style>
  <w:style w:type="paragraph" w:customStyle="1" w:styleId="Default">
    <w:name w:val="Default"/>
    <w:rsid w:val="00AB7FFA"/>
    <w:pPr>
      <w:autoSpaceDE w:val="0"/>
      <w:autoSpaceDN w:val="0"/>
      <w:adjustRightInd w:val="0"/>
    </w:pPr>
    <w:rPr>
      <w:rFonts w:ascii="Calibri" w:eastAsia="Arial Unicode MS" w:hAnsi="Calibri" w:cs="Calibri"/>
      <w:color w:val="000000"/>
      <w:sz w:val="24"/>
      <w:szCs w:val="24"/>
      <w:lang w:eastAsia="en-GB"/>
    </w:rPr>
  </w:style>
  <w:style w:type="table" w:styleId="TableGrid">
    <w:name w:val="Table Grid"/>
    <w:basedOn w:val="TableNormal"/>
    <w:uiPriority w:val="59"/>
    <w:rsid w:val="00AB7FFA"/>
    <w:rPr>
      <w:rFonts w:ascii="Times New Roman" w:eastAsia="Arial Unicode MS"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B7F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a.ioe.ac.uk/11329/1/DCSF-RR108.pdf" TargetMode="External"/><Relationship Id="rId13" Type="http://schemas.openxmlformats.org/officeDocument/2006/relationships/hyperlink" Target="http://www.my-ecoach.com/online/resources/13729/a_new_shape_for_schooling_11.pdf" TargetMode="External"/><Relationship Id="rId18" Type="http://schemas.openxmlformats.org/officeDocument/2006/relationships/hyperlink" Target="http://scholar.google.co.uk/" TargetMode="External"/><Relationship Id="rId3" Type="http://schemas.microsoft.com/office/2007/relationships/stylesWithEffects" Target="stylesWithEffects.xml"/><Relationship Id="rId21" Type="http://schemas.openxmlformats.org/officeDocument/2006/relationships/hyperlink" Target="http://www.oecd-ilibrary.org/education/the-policy-impact-of-pisa_5k9fdfqffr28-en" TargetMode="External"/><Relationship Id="rId7" Type="http://schemas.openxmlformats.org/officeDocument/2006/relationships/hyperlink" Target="http://scholar.google.co.uk/scholar?hl=en&amp;q=tony+bush+leadership&amp;btnG=&amp;as_sdt=1%2C5&amp;as_sdtp" TargetMode="External"/><Relationship Id="rId12" Type="http://schemas.openxmlformats.org/officeDocument/2006/relationships/hyperlink" Target="http://www.youtube.com/watch?v=RVPu_OKpkFo&amp;feature=related" TargetMode="External"/><Relationship Id="rId17" Type="http://schemas.openxmlformats.org/officeDocument/2006/relationships/hyperlink" Target="https://www.essr.net/~jafundo/mestrado_material_itgjkhnld/SP/ebooksclub.org__Schools_Must_Speak_for_Themselves__The_Case_for_School_Self_Evaluation__Whats_in_It_for_Schools_.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youtube.com/watch?v=rgGd7UIZMUE" TargetMode="External"/><Relationship Id="rId20" Type="http://schemas.openxmlformats.org/officeDocument/2006/relationships/hyperlink" Target="http://www.tandfonline.com/doi/pdf/10.1080/03050069828225" TargetMode="External"/><Relationship Id="rId1" Type="http://schemas.openxmlformats.org/officeDocument/2006/relationships/numbering" Target="numbering.xml"/><Relationship Id="rId6" Type="http://schemas.openxmlformats.org/officeDocument/2006/relationships/hyperlink" Target="http://www.le.ac.uk/oerresources/ssds/writingskills/page_13.htm" TargetMode="External"/><Relationship Id="rId11" Type="http://schemas.openxmlformats.org/officeDocument/2006/relationships/hyperlink" Target="http://jotamac.typepad.com/jotamacs_weblog/files/seven_principles.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orks.bepress.com/michelle_anderson/4/" TargetMode="External"/><Relationship Id="rId23" Type="http://schemas.openxmlformats.org/officeDocument/2006/relationships/hyperlink" Target="http://www.ijse.eu/vol-6-2-2014-learning-international-education-policies-move-towards-education-systems-facilitate-sustainable-full-economic-cultural-political-participation/" TargetMode="External"/><Relationship Id="rId10" Type="http://schemas.openxmlformats.org/officeDocument/2006/relationships/hyperlink" Target="http://www.youtube.com/watch?v=ZgUjrzd2SBI&amp;feature=related" TargetMode="External"/><Relationship Id="rId19" Type="http://schemas.openxmlformats.org/officeDocument/2006/relationships/hyperlink" Target="http://www.le.ac.uk/oerresources/ssds/writingskills/page_13.htm" TargetMode="External"/><Relationship Id="rId4" Type="http://schemas.openxmlformats.org/officeDocument/2006/relationships/settings" Target="settings.xml"/><Relationship Id="rId9" Type="http://schemas.openxmlformats.org/officeDocument/2006/relationships/hyperlink" Target="http://www.csus.edu/indiv/j/jelinekd/EDTE%20227/Fullen%20change.pdf" TargetMode="External"/><Relationship Id="rId14" Type="http://schemas.openxmlformats.org/officeDocument/2006/relationships/hyperlink" Target="http://dera.ioe.ac.uk/2093/1/download%3Fid%3D133672%26filename%3Dcreating-a-self-improving-school-system.pdf" TargetMode="External"/><Relationship Id="rId22" Type="http://schemas.openxmlformats.org/officeDocument/2006/relationships/hyperlink" Target="http://www.ijse.eu/vol-4-no-1-2012-learning-from-international-educational-policies-to-move-towards-sustainable-living-for-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2F0EE977.dotm</Template>
  <TotalTime>1</TotalTime>
  <Pages>8</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jdb18</dc:creator>
  <cp:lastModifiedBy>jdb18</cp:lastModifiedBy>
  <cp:revision>1</cp:revision>
  <dcterms:created xsi:type="dcterms:W3CDTF">2015-11-02T14:19:00Z</dcterms:created>
  <dcterms:modified xsi:type="dcterms:W3CDTF">2015-11-02T14:20:00Z</dcterms:modified>
</cp:coreProperties>
</file>