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38A4" w14:textId="77777777" w:rsidR="00CA154E" w:rsidRDefault="00CA154E" w:rsidP="003F1A84">
      <w:pPr>
        <w:pStyle w:val="Title"/>
        <w:tabs>
          <w:tab w:val="left" w:pos="7938"/>
        </w:tabs>
        <w:spacing w:after="0"/>
        <w:ind w:right="95"/>
        <w:rPr>
          <w:rFonts w:asciiTheme="minorHAnsi" w:hAnsiTheme="minorHAnsi" w:cstheme="minorHAnsi"/>
          <w:bCs/>
          <w:sz w:val="22"/>
          <w:szCs w:val="22"/>
        </w:rPr>
      </w:pPr>
    </w:p>
    <w:p w14:paraId="68716033" w14:textId="4A27BE38" w:rsidR="00215B84" w:rsidRPr="002D3A6A" w:rsidRDefault="007A3605" w:rsidP="005B2044">
      <w:pPr>
        <w:pStyle w:val="Title"/>
        <w:tabs>
          <w:tab w:val="left" w:pos="7938"/>
        </w:tabs>
        <w:spacing w:after="0"/>
        <w:ind w:left="936" w:right="95"/>
        <w:rPr>
          <w:rFonts w:asciiTheme="minorHAnsi" w:hAnsiTheme="minorHAnsi" w:cstheme="minorHAnsi"/>
          <w:sz w:val="22"/>
          <w:szCs w:val="22"/>
        </w:rPr>
      </w:pPr>
      <w:r w:rsidRPr="007A3605">
        <w:rPr>
          <w:noProof/>
          <w:lang w:eastAsia="en-GB"/>
        </w:rPr>
        <w:drawing>
          <wp:anchor distT="0" distB="0" distL="114300" distR="114300" simplePos="0" relativeHeight="251658240" behindDoc="1" locked="0" layoutInCell="1" allowOverlap="1" wp14:anchorId="2E92C4D9" wp14:editId="7B9E682C">
            <wp:simplePos x="0" y="0"/>
            <wp:positionH relativeFrom="margin">
              <wp:posOffset>2667152</wp:posOffset>
            </wp:positionH>
            <wp:positionV relativeFrom="paragraph">
              <wp:posOffset>0</wp:posOffset>
            </wp:positionV>
            <wp:extent cx="961390" cy="680085"/>
            <wp:effectExtent l="0" t="0" r="0" b="0"/>
            <wp:wrapTight wrapText="bothSides">
              <wp:wrapPolygon edited="0">
                <wp:start x="4708" y="2420"/>
                <wp:lineTo x="2568" y="6655"/>
                <wp:lineTo x="1284" y="10286"/>
                <wp:lineTo x="1712" y="13311"/>
                <wp:lineTo x="4708" y="18151"/>
                <wp:lineTo x="5564" y="19361"/>
                <wp:lineTo x="8988" y="19361"/>
                <wp:lineTo x="12840" y="13916"/>
                <wp:lineTo x="12840" y="13311"/>
                <wp:lineTo x="19260" y="10286"/>
                <wp:lineTo x="18832" y="4840"/>
                <wp:lineTo x="10272" y="2420"/>
                <wp:lineTo x="4708" y="2420"/>
              </wp:wrapPolygon>
            </wp:wrapTight>
            <wp:docPr id="1" name="Picture 1" descr="C:\Users\hn57\AppData\Local\Temp\Temp1_REC Bronze Logos and guidance.zip\REC Bronze Logos and guidance\Advance-HE-Membership-logo_Standalone_REC-Bronz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57\AppData\Local\Temp\Temp1_REC Bronze Logos and guidance.zip\REC Bronze Logos and guidance\Advance-HE-Membership-logo_Standalone_REC-Bronze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044">
        <w:rPr>
          <w:rFonts w:asciiTheme="minorHAnsi" w:hAnsiTheme="minorHAnsi" w:cstheme="minorHAnsi"/>
          <w:bCs/>
          <w:sz w:val="22"/>
          <w:szCs w:val="22"/>
        </w:rPr>
        <w:tab/>
      </w:r>
    </w:p>
    <w:p w14:paraId="328B7D5B" w14:textId="4C1D6265" w:rsidR="006F59BC" w:rsidRDefault="006F59BC" w:rsidP="005F00F8">
      <w:pPr>
        <w:pStyle w:val="Title"/>
        <w:spacing w:after="0"/>
        <w:ind w:right="95"/>
        <w:jc w:val="center"/>
        <w:rPr>
          <w:rFonts w:asciiTheme="minorHAnsi" w:hAnsiTheme="minorHAnsi" w:cstheme="minorHAnsi"/>
          <w:sz w:val="22"/>
          <w:szCs w:val="22"/>
        </w:rPr>
      </w:pPr>
    </w:p>
    <w:p w14:paraId="553A410F" w14:textId="77777777" w:rsidR="007A3605" w:rsidRDefault="007A3605" w:rsidP="005F00F8">
      <w:pPr>
        <w:pStyle w:val="Title"/>
        <w:spacing w:after="0"/>
        <w:ind w:right="95"/>
        <w:jc w:val="center"/>
        <w:rPr>
          <w:rFonts w:asciiTheme="minorHAnsi" w:hAnsiTheme="minorHAnsi" w:cstheme="minorHAnsi"/>
          <w:sz w:val="24"/>
          <w:szCs w:val="24"/>
        </w:rPr>
      </w:pPr>
    </w:p>
    <w:p w14:paraId="190F860A" w14:textId="77777777" w:rsidR="007A3605" w:rsidRDefault="007A3605" w:rsidP="005F00F8">
      <w:pPr>
        <w:pStyle w:val="Title"/>
        <w:spacing w:after="0"/>
        <w:ind w:right="95"/>
        <w:jc w:val="center"/>
        <w:rPr>
          <w:rFonts w:asciiTheme="minorHAnsi" w:hAnsiTheme="minorHAnsi" w:cstheme="minorHAnsi"/>
          <w:sz w:val="24"/>
          <w:szCs w:val="24"/>
        </w:rPr>
      </w:pPr>
    </w:p>
    <w:p w14:paraId="3691178D" w14:textId="274C233F" w:rsidR="00332A39" w:rsidRDefault="00215B84" w:rsidP="003F1A84">
      <w:pPr>
        <w:pStyle w:val="Title"/>
        <w:spacing w:after="0"/>
        <w:ind w:right="95"/>
        <w:jc w:val="center"/>
        <w:rPr>
          <w:rFonts w:asciiTheme="minorHAnsi" w:hAnsiTheme="minorHAnsi" w:cstheme="minorHAnsi"/>
          <w:sz w:val="24"/>
          <w:szCs w:val="24"/>
        </w:rPr>
      </w:pPr>
      <w:r w:rsidRPr="005B2044">
        <w:rPr>
          <w:rFonts w:asciiTheme="minorHAnsi" w:hAnsiTheme="minorHAnsi" w:cstheme="minorHAnsi"/>
          <w:sz w:val="24"/>
          <w:szCs w:val="24"/>
        </w:rPr>
        <w:t>UNIVERSITY OF LEIC</w:t>
      </w:r>
      <w:r w:rsidR="00E24833" w:rsidRPr="005B2044">
        <w:rPr>
          <w:rFonts w:asciiTheme="minorHAnsi" w:hAnsiTheme="minorHAnsi" w:cstheme="minorHAnsi"/>
          <w:sz w:val="24"/>
          <w:szCs w:val="24"/>
        </w:rPr>
        <w:t>E</w:t>
      </w:r>
      <w:r w:rsidRPr="005B2044">
        <w:rPr>
          <w:rFonts w:asciiTheme="minorHAnsi" w:hAnsiTheme="minorHAnsi" w:cstheme="minorHAnsi"/>
          <w:sz w:val="24"/>
          <w:szCs w:val="24"/>
        </w:rPr>
        <w:t>STER</w:t>
      </w:r>
    </w:p>
    <w:p w14:paraId="2EF0E5C7" w14:textId="77777777" w:rsidR="003F1A84" w:rsidRPr="003F1A84" w:rsidRDefault="003F1A84" w:rsidP="003F1A84"/>
    <w:p w14:paraId="6D60F7CF" w14:textId="3C0FAF2B" w:rsidR="003F1A84" w:rsidRPr="003F1A84" w:rsidRDefault="003D5326" w:rsidP="003F1A84">
      <w:pPr>
        <w:spacing w:after="0" w:line="240" w:lineRule="auto"/>
        <w:ind w:right="95"/>
        <w:jc w:val="center"/>
        <w:rPr>
          <w:rFonts w:cstheme="minorHAnsi"/>
          <w:b/>
          <w:sz w:val="24"/>
          <w:szCs w:val="24"/>
          <w:u w:val="single"/>
        </w:rPr>
      </w:pPr>
      <w:r w:rsidRPr="003F1A84">
        <w:rPr>
          <w:rFonts w:cstheme="minorHAnsi"/>
          <w:b/>
          <w:sz w:val="24"/>
          <w:szCs w:val="24"/>
          <w:u w:val="single"/>
        </w:rPr>
        <w:t>Race Equality Charter Mark Bronze</w:t>
      </w:r>
    </w:p>
    <w:p w14:paraId="29155C47" w14:textId="76DB3F48" w:rsidR="003F1A84" w:rsidRPr="003F1A84" w:rsidRDefault="003F1A84" w:rsidP="005F00F8">
      <w:pPr>
        <w:spacing w:after="0" w:line="240" w:lineRule="auto"/>
        <w:ind w:right="95"/>
        <w:jc w:val="center"/>
        <w:rPr>
          <w:rFonts w:cstheme="minorHAnsi"/>
          <w:b/>
          <w:sz w:val="24"/>
          <w:szCs w:val="24"/>
          <w:u w:val="single"/>
        </w:rPr>
      </w:pPr>
      <w:r w:rsidRPr="003F1A84">
        <w:rPr>
          <w:rFonts w:cstheme="minorHAnsi"/>
          <w:b/>
          <w:sz w:val="24"/>
          <w:szCs w:val="24"/>
          <w:u w:val="single"/>
        </w:rPr>
        <w:t>Submission Briefing</w:t>
      </w:r>
    </w:p>
    <w:p w14:paraId="0EB4D2B6" w14:textId="77777777" w:rsidR="00CB64D0" w:rsidRPr="00332A39" w:rsidRDefault="00CB64D0" w:rsidP="003F1A84">
      <w:pPr>
        <w:spacing w:after="0" w:line="240" w:lineRule="auto"/>
        <w:ind w:right="95"/>
        <w:rPr>
          <w:rFonts w:cstheme="minorHAnsi"/>
          <w:b/>
        </w:rPr>
      </w:pPr>
    </w:p>
    <w:p w14:paraId="20DD6D45" w14:textId="52CAB5CA" w:rsidR="00215B84" w:rsidRDefault="00215B84" w:rsidP="005F00F8">
      <w:pPr>
        <w:spacing w:after="0" w:line="240" w:lineRule="auto"/>
      </w:pPr>
    </w:p>
    <w:p w14:paraId="45730AD2" w14:textId="754F4A39" w:rsidR="00DD2782" w:rsidRDefault="00DD2782" w:rsidP="00EF169D">
      <w:pPr>
        <w:pStyle w:val="ListParagraph"/>
        <w:numPr>
          <w:ilvl w:val="0"/>
          <w:numId w:val="1"/>
        </w:numPr>
        <w:spacing w:after="0" w:line="240" w:lineRule="auto"/>
        <w:contextualSpacing w:val="0"/>
        <w:jc w:val="both"/>
        <w:rPr>
          <w:rFonts w:cstheme="minorHAnsi"/>
          <w:b/>
        </w:rPr>
      </w:pPr>
      <w:r w:rsidRPr="001E7ABF">
        <w:rPr>
          <w:rFonts w:cstheme="minorHAnsi"/>
          <w:b/>
        </w:rPr>
        <w:t xml:space="preserve">Introduction </w:t>
      </w:r>
    </w:p>
    <w:p w14:paraId="40F42DA8" w14:textId="11BD9C82" w:rsidR="002D3A6A" w:rsidRDefault="0040735E" w:rsidP="00F624E3">
      <w:pPr>
        <w:pStyle w:val="ListParagraph"/>
        <w:numPr>
          <w:ilvl w:val="1"/>
          <w:numId w:val="1"/>
        </w:numPr>
        <w:spacing w:after="0" w:line="240" w:lineRule="auto"/>
        <w:contextualSpacing w:val="0"/>
        <w:jc w:val="both"/>
        <w:rPr>
          <w:rFonts w:cstheme="minorHAnsi"/>
        </w:rPr>
      </w:pPr>
      <w:r w:rsidRPr="003F1A84">
        <w:rPr>
          <w:rFonts w:cstheme="minorHAnsi"/>
        </w:rPr>
        <w:t xml:space="preserve">This </w:t>
      </w:r>
      <w:r w:rsidR="003F1A84" w:rsidRPr="003F1A84">
        <w:rPr>
          <w:rFonts w:cstheme="minorHAnsi"/>
        </w:rPr>
        <w:t>briefing</w:t>
      </w:r>
      <w:r w:rsidRPr="003F1A84">
        <w:rPr>
          <w:rFonts w:cstheme="minorHAnsi"/>
        </w:rPr>
        <w:t xml:space="preserve"> provides </w:t>
      </w:r>
      <w:r w:rsidR="006A1C9E" w:rsidRPr="003F1A84">
        <w:rPr>
          <w:rFonts w:cstheme="minorHAnsi"/>
        </w:rPr>
        <w:t>a summary of the key findings</w:t>
      </w:r>
      <w:r w:rsidR="002F4714" w:rsidRPr="003F1A84">
        <w:rPr>
          <w:rFonts w:cstheme="minorHAnsi"/>
        </w:rPr>
        <w:t xml:space="preserve"> </w:t>
      </w:r>
      <w:r w:rsidR="003F1A84" w:rsidRPr="003F1A84">
        <w:rPr>
          <w:rFonts w:cstheme="minorHAnsi"/>
        </w:rPr>
        <w:t xml:space="preserve">and actions of the University’s Bronze Race Equality Charter Mark </w:t>
      </w:r>
      <w:r w:rsidR="003F1A84">
        <w:rPr>
          <w:rFonts w:cstheme="minorHAnsi"/>
        </w:rPr>
        <w:t xml:space="preserve">(RECM) </w:t>
      </w:r>
      <w:r w:rsidR="003F1A84" w:rsidRPr="003F1A84">
        <w:rPr>
          <w:rFonts w:cstheme="minorHAnsi"/>
        </w:rPr>
        <w:t xml:space="preserve">submission which was awarded in 2022. </w:t>
      </w:r>
    </w:p>
    <w:p w14:paraId="2C6F43CD" w14:textId="77777777" w:rsidR="003F1A84" w:rsidRPr="003F1A84" w:rsidRDefault="003F1A84" w:rsidP="003F1A84">
      <w:pPr>
        <w:pStyle w:val="ListParagraph"/>
        <w:spacing w:after="0" w:line="240" w:lineRule="auto"/>
        <w:ind w:left="792"/>
        <w:contextualSpacing w:val="0"/>
        <w:jc w:val="both"/>
        <w:rPr>
          <w:rFonts w:cstheme="minorHAnsi"/>
        </w:rPr>
      </w:pPr>
    </w:p>
    <w:p w14:paraId="226D6BDF" w14:textId="165231F1" w:rsidR="00DD2782" w:rsidRDefault="00DD2782" w:rsidP="00EF169D">
      <w:pPr>
        <w:pStyle w:val="ListParagraph"/>
        <w:numPr>
          <w:ilvl w:val="0"/>
          <w:numId w:val="1"/>
        </w:numPr>
        <w:spacing w:after="0" w:line="240" w:lineRule="auto"/>
        <w:contextualSpacing w:val="0"/>
        <w:jc w:val="both"/>
        <w:rPr>
          <w:rFonts w:cstheme="minorHAnsi"/>
          <w:b/>
        </w:rPr>
      </w:pPr>
      <w:r w:rsidRPr="001E7ABF">
        <w:rPr>
          <w:rFonts w:cstheme="minorHAnsi"/>
          <w:b/>
        </w:rPr>
        <w:t>Background</w:t>
      </w:r>
    </w:p>
    <w:p w14:paraId="129C8019" w14:textId="4AED1A20" w:rsidR="0040735E" w:rsidRDefault="0040735E" w:rsidP="0040735E">
      <w:pPr>
        <w:pStyle w:val="ListParagraph"/>
        <w:numPr>
          <w:ilvl w:val="1"/>
          <w:numId w:val="1"/>
        </w:numPr>
        <w:spacing w:after="0" w:line="240" w:lineRule="auto"/>
        <w:contextualSpacing w:val="0"/>
        <w:jc w:val="both"/>
        <w:rPr>
          <w:rFonts w:cstheme="minorHAnsi"/>
        </w:rPr>
      </w:pPr>
      <w:r w:rsidRPr="0040735E">
        <w:rPr>
          <w:rFonts w:cstheme="minorHAnsi"/>
        </w:rPr>
        <w:t xml:space="preserve">The </w:t>
      </w:r>
      <w:r>
        <w:rPr>
          <w:rFonts w:cstheme="minorHAnsi"/>
        </w:rPr>
        <w:t>University</w:t>
      </w:r>
      <w:r w:rsidR="003F1A84">
        <w:rPr>
          <w:rFonts w:cstheme="minorHAnsi"/>
        </w:rPr>
        <w:t xml:space="preserve"> was</w:t>
      </w:r>
      <w:r>
        <w:rPr>
          <w:rFonts w:cstheme="minorHAnsi"/>
        </w:rPr>
        <w:t xml:space="preserve"> awarded a Bronze </w:t>
      </w:r>
      <w:r w:rsidR="006A4186">
        <w:rPr>
          <w:rFonts w:cstheme="minorHAnsi"/>
        </w:rPr>
        <w:t>RECM</w:t>
      </w:r>
      <w:r>
        <w:rPr>
          <w:rFonts w:cstheme="minorHAnsi"/>
        </w:rPr>
        <w:t xml:space="preserve"> in August 2022. </w:t>
      </w:r>
    </w:p>
    <w:p w14:paraId="0DB870D9" w14:textId="21B65CFA" w:rsidR="007A3605" w:rsidRDefault="0040735E" w:rsidP="007A3605">
      <w:pPr>
        <w:pStyle w:val="ListParagraph"/>
        <w:numPr>
          <w:ilvl w:val="1"/>
          <w:numId w:val="1"/>
        </w:numPr>
        <w:spacing w:after="0" w:line="240" w:lineRule="auto"/>
        <w:contextualSpacing w:val="0"/>
        <w:jc w:val="both"/>
        <w:rPr>
          <w:rFonts w:cstheme="minorHAnsi"/>
        </w:rPr>
      </w:pPr>
      <w:r>
        <w:rPr>
          <w:rFonts w:cstheme="minorHAnsi"/>
        </w:rPr>
        <w:t>This award is valid for a period of up to 5 years (</w:t>
      </w:r>
      <w:r w:rsidR="006A1C9E">
        <w:rPr>
          <w:rFonts w:cstheme="minorHAnsi"/>
        </w:rPr>
        <w:t xml:space="preserve">until </w:t>
      </w:r>
      <w:r>
        <w:rPr>
          <w:rFonts w:cstheme="minorHAnsi"/>
        </w:rPr>
        <w:t xml:space="preserve">2027) however </w:t>
      </w:r>
      <w:r w:rsidR="002F4714">
        <w:rPr>
          <w:rFonts w:cstheme="minorHAnsi"/>
        </w:rPr>
        <w:t>u</w:t>
      </w:r>
      <w:r>
        <w:rPr>
          <w:rFonts w:cstheme="minorHAnsi"/>
        </w:rPr>
        <w:t xml:space="preserve">niversities who </w:t>
      </w:r>
      <w:r w:rsidR="006A1C9E">
        <w:rPr>
          <w:rFonts w:cstheme="minorHAnsi"/>
        </w:rPr>
        <w:t xml:space="preserve">want to submit </w:t>
      </w:r>
      <w:r w:rsidRPr="00FD1B93">
        <w:rPr>
          <w:rFonts w:cstheme="minorHAnsi"/>
        </w:rPr>
        <w:t>before this date</w:t>
      </w:r>
      <w:r w:rsidR="002F4714">
        <w:rPr>
          <w:rFonts w:cstheme="minorHAnsi"/>
        </w:rPr>
        <w:t xml:space="preserve">, </w:t>
      </w:r>
      <w:r w:rsidRPr="00FD1B93">
        <w:rPr>
          <w:rFonts w:cstheme="minorHAnsi"/>
        </w:rPr>
        <w:t xml:space="preserve">are able to submit after </w:t>
      </w:r>
      <w:r w:rsidR="006A1C9E">
        <w:rPr>
          <w:rFonts w:cstheme="minorHAnsi"/>
        </w:rPr>
        <w:t xml:space="preserve">a period of </w:t>
      </w:r>
      <w:r w:rsidRPr="00FD1B93">
        <w:rPr>
          <w:rFonts w:cstheme="minorHAnsi"/>
        </w:rPr>
        <w:t xml:space="preserve">3 years (2025). </w:t>
      </w:r>
    </w:p>
    <w:p w14:paraId="658E0A2B" w14:textId="57D3E8AE" w:rsidR="007A3605" w:rsidRPr="007A3605" w:rsidRDefault="007A3605" w:rsidP="007A3605">
      <w:pPr>
        <w:pStyle w:val="ListParagraph"/>
        <w:numPr>
          <w:ilvl w:val="1"/>
          <w:numId w:val="1"/>
        </w:numPr>
        <w:spacing w:after="0" w:line="240" w:lineRule="auto"/>
        <w:contextualSpacing w:val="0"/>
        <w:jc w:val="both"/>
        <w:rPr>
          <w:rFonts w:cstheme="minorHAnsi"/>
        </w:rPr>
      </w:pPr>
      <w:r w:rsidRPr="007A3605">
        <w:rPr>
          <w:color w:val="000000"/>
          <w:sz w:val="23"/>
          <w:szCs w:val="23"/>
        </w:rPr>
        <w:t>The submission involved a rigorous evidence-based analysis of the student and staff lifecycles</w:t>
      </w:r>
      <w:r w:rsidR="00DC4B97">
        <w:rPr>
          <w:color w:val="000000"/>
          <w:sz w:val="23"/>
          <w:szCs w:val="23"/>
        </w:rPr>
        <w:t>,</w:t>
      </w:r>
      <w:r w:rsidRPr="007A3605">
        <w:rPr>
          <w:color w:val="000000"/>
          <w:sz w:val="23"/>
          <w:szCs w:val="23"/>
        </w:rPr>
        <w:t xml:space="preserve"> to identify any barriers to race equity at the University and, an aligned five-year action plan, detailing how the University will address barriers identified and take forward its commitment to anti-racism. </w:t>
      </w:r>
    </w:p>
    <w:p w14:paraId="4CB91251" w14:textId="6C4D835D" w:rsidR="007A3605" w:rsidRPr="007A3605" w:rsidRDefault="00FD1B93" w:rsidP="007A3605">
      <w:pPr>
        <w:pStyle w:val="ListParagraph"/>
        <w:numPr>
          <w:ilvl w:val="1"/>
          <w:numId w:val="1"/>
        </w:numPr>
        <w:spacing w:after="0" w:line="240" w:lineRule="auto"/>
        <w:contextualSpacing w:val="0"/>
        <w:jc w:val="both"/>
        <w:rPr>
          <w:rFonts w:cstheme="minorHAnsi"/>
        </w:rPr>
      </w:pPr>
      <w:r w:rsidRPr="007A3605">
        <w:rPr>
          <w:rFonts w:cstheme="minorHAnsi"/>
        </w:rPr>
        <w:t xml:space="preserve">There are currently 97 </w:t>
      </w:r>
      <w:r w:rsidR="006A4186">
        <w:rPr>
          <w:rFonts w:cstheme="minorHAnsi"/>
        </w:rPr>
        <w:t>RECM</w:t>
      </w:r>
      <w:r w:rsidR="004A6814">
        <w:rPr>
          <w:rFonts w:cstheme="minorHAnsi"/>
        </w:rPr>
        <w:t xml:space="preserve"> </w:t>
      </w:r>
      <w:r w:rsidRPr="007A3605">
        <w:rPr>
          <w:rFonts w:cstheme="minorHAnsi"/>
        </w:rPr>
        <w:t>members, holding 29 awards between them. There are no Universities who currently hold a Silver award.</w:t>
      </w:r>
      <w:r w:rsidR="007A3605" w:rsidRPr="007A3605">
        <w:t xml:space="preserve"> We are 1 of only 9 Universities </w:t>
      </w:r>
      <w:r w:rsidR="002F4714">
        <w:t>that</w:t>
      </w:r>
      <w:r w:rsidR="002F4714" w:rsidRPr="007A3605">
        <w:t xml:space="preserve"> </w:t>
      </w:r>
      <w:r w:rsidR="007A3605" w:rsidRPr="007A3605">
        <w:t xml:space="preserve">have both RECM Bronze and Athena Swan </w:t>
      </w:r>
      <w:r w:rsidR="002F4714">
        <w:t xml:space="preserve">Institutional </w:t>
      </w:r>
      <w:r w:rsidR="007A3605" w:rsidRPr="007A3605">
        <w:t>Silver. We are 1 of only 4 Universities that ha</w:t>
      </w:r>
      <w:r w:rsidR="002F4714">
        <w:t>ve</w:t>
      </w:r>
      <w:r w:rsidR="007A3605" w:rsidRPr="007A3605">
        <w:t xml:space="preserve"> </w:t>
      </w:r>
      <w:r w:rsidR="002F4714">
        <w:t>Athena Swan Institutional Silver,</w:t>
      </w:r>
      <w:r w:rsidR="007A3605" w:rsidRPr="007A3605">
        <w:t xml:space="preserve"> REC and Disability Confident Level 2 or higher.</w:t>
      </w:r>
    </w:p>
    <w:p w14:paraId="57621888" w14:textId="628291CF" w:rsidR="007A3605" w:rsidRPr="007A3605" w:rsidRDefault="007A3605" w:rsidP="007A3605">
      <w:pPr>
        <w:spacing w:after="0" w:line="240" w:lineRule="auto"/>
        <w:ind w:left="360"/>
        <w:jc w:val="both"/>
        <w:rPr>
          <w:rFonts w:cstheme="minorHAnsi"/>
        </w:rPr>
      </w:pPr>
    </w:p>
    <w:p w14:paraId="1045F7AA" w14:textId="77777777" w:rsidR="008A6590" w:rsidRPr="00D8595B" w:rsidRDefault="008A6590" w:rsidP="00D8595B">
      <w:pPr>
        <w:spacing w:after="0" w:line="240" w:lineRule="auto"/>
        <w:rPr>
          <w:rFonts w:cstheme="minorHAnsi"/>
        </w:rPr>
      </w:pPr>
    </w:p>
    <w:p w14:paraId="61F55C78" w14:textId="431110D0" w:rsidR="00012D36" w:rsidRDefault="00FD1B93" w:rsidP="00012D36">
      <w:pPr>
        <w:pStyle w:val="ListParagraph"/>
        <w:numPr>
          <w:ilvl w:val="0"/>
          <w:numId w:val="1"/>
        </w:numPr>
        <w:spacing w:after="0" w:line="240" w:lineRule="auto"/>
        <w:contextualSpacing w:val="0"/>
        <w:jc w:val="both"/>
        <w:rPr>
          <w:rFonts w:cstheme="minorHAnsi"/>
          <w:b/>
        </w:rPr>
      </w:pPr>
      <w:r>
        <w:rPr>
          <w:rFonts w:cstheme="minorHAnsi"/>
          <w:b/>
        </w:rPr>
        <w:t>Key findings:</w:t>
      </w:r>
      <w:r w:rsidR="00342072">
        <w:rPr>
          <w:rFonts w:cstheme="minorHAnsi"/>
          <w:b/>
        </w:rPr>
        <w:t xml:space="preserve"> </w:t>
      </w:r>
      <w:r w:rsidR="006A1C9E">
        <w:rPr>
          <w:rFonts w:cstheme="minorHAnsi"/>
        </w:rPr>
        <w:t xml:space="preserve">The following is a summary </w:t>
      </w:r>
      <w:r w:rsidR="00342072">
        <w:rPr>
          <w:rFonts w:cstheme="minorHAnsi"/>
        </w:rPr>
        <w:t>of the key issues which have been highlighted through the analysis undertaken in the</w:t>
      </w:r>
      <w:r w:rsidR="006A1C9E">
        <w:rPr>
          <w:rFonts w:cstheme="minorHAnsi"/>
        </w:rPr>
        <w:t xml:space="preserve"> University’s </w:t>
      </w:r>
      <w:r w:rsidR="006A4186">
        <w:rPr>
          <w:rFonts w:cstheme="minorHAnsi"/>
        </w:rPr>
        <w:t>RECM</w:t>
      </w:r>
      <w:r w:rsidR="006A1C9E">
        <w:rPr>
          <w:rFonts w:cstheme="minorHAnsi"/>
        </w:rPr>
        <w:t xml:space="preserve">. </w:t>
      </w:r>
    </w:p>
    <w:p w14:paraId="55EFEB3A" w14:textId="77777777" w:rsidR="00342072" w:rsidRDefault="00342072" w:rsidP="00342072">
      <w:pPr>
        <w:pStyle w:val="ListParagraph"/>
        <w:spacing w:after="0" w:line="240" w:lineRule="auto"/>
        <w:ind w:left="360"/>
        <w:contextualSpacing w:val="0"/>
        <w:jc w:val="both"/>
        <w:rPr>
          <w:rFonts w:cstheme="minorHAnsi"/>
          <w:b/>
        </w:rPr>
      </w:pPr>
    </w:p>
    <w:p w14:paraId="2D45D7C8" w14:textId="444FBD4E" w:rsidR="00767B6F" w:rsidRDefault="008D24A5" w:rsidP="00767B6F">
      <w:pPr>
        <w:pStyle w:val="ListParagraph"/>
        <w:numPr>
          <w:ilvl w:val="1"/>
          <w:numId w:val="1"/>
        </w:numPr>
        <w:spacing w:after="0" w:line="240" w:lineRule="auto"/>
        <w:contextualSpacing w:val="0"/>
        <w:jc w:val="both"/>
        <w:rPr>
          <w:rFonts w:cstheme="minorHAnsi"/>
        </w:rPr>
      </w:pPr>
      <w:r>
        <w:rPr>
          <w:rFonts w:cstheme="minorHAnsi"/>
        </w:rPr>
        <w:t>Student</w:t>
      </w:r>
      <w:r w:rsidR="00767B6F" w:rsidRPr="00342072">
        <w:rPr>
          <w:rFonts w:cstheme="minorHAnsi"/>
        </w:rPr>
        <w:t xml:space="preserve"> pipeline  </w:t>
      </w:r>
    </w:p>
    <w:p w14:paraId="66E35199" w14:textId="77777777" w:rsidR="00342072" w:rsidRPr="00342072" w:rsidRDefault="00342072" w:rsidP="00342072">
      <w:pPr>
        <w:pStyle w:val="ListParagraph"/>
        <w:spacing w:after="0" w:line="240" w:lineRule="auto"/>
        <w:ind w:left="792"/>
        <w:contextualSpacing w:val="0"/>
        <w:jc w:val="both"/>
        <w:rPr>
          <w:rFonts w:cstheme="minorHAnsi"/>
        </w:rPr>
      </w:pPr>
    </w:p>
    <w:p w14:paraId="4E5FE37D" w14:textId="5E1BF287" w:rsidR="008D24A5" w:rsidRPr="00105634" w:rsidRDefault="008D24A5" w:rsidP="008D24A5">
      <w:pPr>
        <w:pStyle w:val="ListParagraph"/>
        <w:numPr>
          <w:ilvl w:val="2"/>
          <w:numId w:val="13"/>
        </w:numPr>
        <w:spacing w:after="0" w:line="240" w:lineRule="auto"/>
        <w:contextualSpacing w:val="0"/>
        <w:jc w:val="both"/>
        <w:rPr>
          <w:rFonts w:cstheme="minorHAnsi"/>
        </w:rPr>
      </w:pPr>
      <w:r w:rsidRPr="00105634">
        <w:rPr>
          <w:b/>
        </w:rPr>
        <w:t>Admissions:</w:t>
      </w:r>
      <w:r>
        <w:t xml:space="preserve"> </w:t>
      </w:r>
      <w:r w:rsidRPr="00342072">
        <w:t>The level of applications from white students is decreasing</w:t>
      </w:r>
      <w:r>
        <w:t>,</w:t>
      </w:r>
      <w:r w:rsidRPr="00342072">
        <w:t xml:space="preserve"> whilst </w:t>
      </w:r>
      <w:r>
        <w:t xml:space="preserve">minority ethnic </w:t>
      </w:r>
      <w:r w:rsidRPr="00342072">
        <w:t>student applications are increasing. This is not reflected by the offer rates</w:t>
      </w:r>
      <w:r>
        <w:t>, however,</w:t>
      </w:r>
      <w:r w:rsidRPr="00342072">
        <w:t xml:space="preserve"> which sees 90% </w:t>
      </w:r>
      <w:r w:rsidR="00826DBF">
        <w:t>of white students being offered</w:t>
      </w:r>
      <w:r w:rsidR="00412514">
        <w:t xml:space="preserve">, compared to </w:t>
      </w:r>
      <w:r w:rsidR="00B57A9E">
        <w:t>70%</w:t>
      </w:r>
      <w:r w:rsidR="00412514">
        <w:t xml:space="preserve"> of </w:t>
      </w:r>
      <w:r w:rsidR="00B57A9E">
        <w:t>students from the category other ethnic.</w:t>
      </w:r>
    </w:p>
    <w:p w14:paraId="4FA71970" w14:textId="3682B21F" w:rsidR="008D24A5" w:rsidRPr="00342072" w:rsidRDefault="008D24A5" w:rsidP="008D24A5">
      <w:pPr>
        <w:pStyle w:val="ListParagraph"/>
        <w:numPr>
          <w:ilvl w:val="2"/>
          <w:numId w:val="13"/>
        </w:numPr>
        <w:spacing w:after="0" w:line="240" w:lineRule="auto"/>
        <w:contextualSpacing w:val="0"/>
        <w:jc w:val="both"/>
        <w:rPr>
          <w:rFonts w:cstheme="minorHAnsi"/>
        </w:rPr>
      </w:pPr>
      <w:r w:rsidRPr="00105634">
        <w:rPr>
          <w:b/>
        </w:rPr>
        <w:t>Continuation</w:t>
      </w:r>
      <w:r>
        <w:t>:</w:t>
      </w:r>
      <w:r w:rsidRPr="00342072">
        <w:t xml:space="preserve"> </w:t>
      </w:r>
      <w:r w:rsidR="00B57A9E">
        <w:t>Whilst c</w:t>
      </w:r>
      <w:r>
        <w:t xml:space="preserve">ontinuation </w:t>
      </w:r>
      <w:r w:rsidR="00B57A9E">
        <w:t xml:space="preserve">rates for students from Asian and Chinese backgrounds are similar to white students (94%), </w:t>
      </w:r>
      <w:r w:rsidRPr="00342072">
        <w:t xml:space="preserve">students from mixed, Black and </w:t>
      </w:r>
      <w:r w:rsidR="00B57A9E">
        <w:t xml:space="preserve">other ethnic backgrounds have a much lower continuation rate </w:t>
      </w:r>
      <w:r w:rsidRPr="00342072">
        <w:t>(89%)</w:t>
      </w:r>
      <w:r w:rsidR="00B57A9E">
        <w:t>.</w:t>
      </w:r>
    </w:p>
    <w:p w14:paraId="5887AE29" w14:textId="77777777" w:rsidR="008D24A5" w:rsidRPr="00342072" w:rsidRDefault="008D24A5" w:rsidP="008D24A5">
      <w:pPr>
        <w:pStyle w:val="ListParagraph"/>
        <w:numPr>
          <w:ilvl w:val="2"/>
          <w:numId w:val="13"/>
        </w:numPr>
        <w:spacing w:after="0" w:line="240" w:lineRule="auto"/>
        <w:contextualSpacing w:val="0"/>
        <w:jc w:val="both"/>
        <w:rPr>
          <w:rFonts w:cstheme="minorHAnsi"/>
        </w:rPr>
      </w:pPr>
      <w:r w:rsidRPr="00105634">
        <w:rPr>
          <w:b/>
        </w:rPr>
        <w:t>Awarding Gap:</w:t>
      </w:r>
      <w:r>
        <w:t xml:space="preserve"> </w:t>
      </w:r>
      <w:r w:rsidRPr="00342072">
        <w:t xml:space="preserve">Whilst the </w:t>
      </w:r>
      <w:r>
        <w:t>gap has improved (2.7% in 3 years) it still exits.</w:t>
      </w:r>
      <w:r w:rsidRPr="00342072">
        <w:t xml:space="preserve"> </w:t>
      </w:r>
      <w:r>
        <w:t xml:space="preserve">RECM data showed an </w:t>
      </w:r>
      <w:r w:rsidRPr="00342072">
        <w:t xml:space="preserve">8.7% </w:t>
      </w:r>
      <w:r>
        <w:t>gap (</w:t>
      </w:r>
      <w:r w:rsidRPr="00342072">
        <w:t>including non-UK</w:t>
      </w:r>
      <w:r>
        <w:t>)</w:t>
      </w:r>
      <w:r w:rsidRPr="00342072">
        <w:t xml:space="preserve">. </w:t>
      </w:r>
    </w:p>
    <w:p w14:paraId="6E1E1EEB" w14:textId="6A5916AC" w:rsidR="008D24A5" w:rsidRPr="00185E92" w:rsidRDefault="00826DBF" w:rsidP="00D10A09">
      <w:pPr>
        <w:pStyle w:val="ListParagraph"/>
        <w:numPr>
          <w:ilvl w:val="2"/>
          <w:numId w:val="13"/>
        </w:numPr>
        <w:spacing w:after="0" w:line="240" w:lineRule="auto"/>
        <w:contextualSpacing w:val="0"/>
        <w:jc w:val="both"/>
        <w:rPr>
          <w:rFonts w:cstheme="minorHAnsi"/>
          <w:b/>
        </w:rPr>
      </w:pPr>
      <w:r w:rsidRPr="00826DBF">
        <w:rPr>
          <w:rFonts w:cstheme="minorHAnsi"/>
          <w:b/>
        </w:rPr>
        <w:t xml:space="preserve">Postgraduate pipeline: </w:t>
      </w:r>
      <w:r>
        <w:rPr>
          <w:rFonts w:cstheme="minorHAnsi"/>
        </w:rPr>
        <w:t xml:space="preserve">Whilst the representation </w:t>
      </w:r>
      <w:r w:rsidR="00185E92">
        <w:rPr>
          <w:rFonts w:cstheme="minorHAnsi"/>
        </w:rPr>
        <w:t>of post</w:t>
      </w:r>
      <w:r>
        <w:rPr>
          <w:rFonts w:cstheme="minorHAnsi"/>
        </w:rPr>
        <w:t xml:space="preserve">graduates </w:t>
      </w:r>
      <w:r w:rsidR="00185E92">
        <w:rPr>
          <w:rFonts w:cstheme="minorHAnsi"/>
        </w:rPr>
        <w:t xml:space="preserve">from a minority ethnic </w:t>
      </w:r>
      <w:r>
        <w:rPr>
          <w:rFonts w:cstheme="minorHAnsi"/>
        </w:rPr>
        <w:t>is much higher than the sector average</w:t>
      </w:r>
      <w:r w:rsidR="00185E92">
        <w:rPr>
          <w:rFonts w:cstheme="minorHAnsi"/>
        </w:rPr>
        <w:t>,</w:t>
      </w:r>
      <w:r>
        <w:rPr>
          <w:rFonts w:cstheme="minorHAnsi"/>
        </w:rPr>
        <w:t xml:space="preserve"> further </w:t>
      </w:r>
      <w:r w:rsidR="00185E92">
        <w:rPr>
          <w:rFonts w:cstheme="minorHAnsi"/>
        </w:rPr>
        <w:t>analysis</w:t>
      </w:r>
      <w:r>
        <w:rPr>
          <w:rFonts w:cstheme="minorHAnsi"/>
        </w:rPr>
        <w:t xml:space="preserve"> needs to be undertaken at a College level</w:t>
      </w:r>
      <w:r w:rsidR="00185E92">
        <w:rPr>
          <w:rFonts w:cstheme="minorHAnsi"/>
        </w:rPr>
        <w:t>. The RECM survey and Leicester Award completion rates evidence the need for enhanced support for postgraduates from minority ethnic backgrounds regarding career development and employability.</w:t>
      </w:r>
    </w:p>
    <w:p w14:paraId="4A2F385D" w14:textId="67370756" w:rsidR="008D24A5" w:rsidRPr="00185E92" w:rsidRDefault="00185E92" w:rsidP="00185E92">
      <w:pPr>
        <w:pStyle w:val="ListParagraph"/>
        <w:numPr>
          <w:ilvl w:val="2"/>
          <w:numId w:val="13"/>
        </w:numPr>
        <w:spacing w:after="0" w:line="240" w:lineRule="auto"/>
        <w:contextualSpacing w:val="0"/>
        <w:jc w:val="both"/>
        <w:rPr>
          <w:rFonts w:cstheme="minorHAnsi"/>
          <w:b/>
        </w:rPr>
      </w:pPr>
      <w:r>
        <w:rPr>
          <w:rFonts w:cstheme="minorHAnsi"/>
          <w:b/>
        </w:rPr>
        <w:t xml:space="preserve">Teaching and learning: </w:t>
      </w:r>
      <w:r>
        <w:rPr>
          <w:rFonts w:cstheme="minorHAnsi"/>
        </w:rPr>
        <w:t>The RECM survey and NSS results show that students from a minority ethnic background are less satisfied with their experiences of studying. Particular areas for consideration are course content, teaching and learning within their course and low confidence in teaching staff in facilitating discussion around ethnicity and race.</w:t>
      </w:r>
    </w:p>
    <w:p w14:paraId="40086EC4" w14:textId="77777777" w:rsidR="00767B6F" w:rsidRPr="00767B6F" w:rsidRDefault="00767B6F" w:rsidP="00767B6F">
      <w:pPr>
        <w:pStyle w:val="ListParagraph"/>
        <w:spacing w:after="0" w:line="240" w:lineRule="auto"/>
        <w:ind w:left="1728"/>
        <w:contextualSpacing w:val="0"/>
        <w:jc w:val="both"/>
        <w:rPr>
          <w:rFonts w:cstheme="minorHAnsi"/>
          <w:b/>
        </w:rPr>
      </w:pPr>
    </w:p>
    <w:p w14:paraId="1BD9F89B" w14:textId="05435CC0" w:rsidR="00767B6F" w:rsidRPr="00185E92" w:rsidRDefault="00767B6F" w:rsidP="00767B6F">
      <w:pPr>
        <w:pStyle w:val="ListParagraph"/>
        <w:numPr>
          <w:ilvl w:val="1"/>
          <w:numId w:val="1"/>
        </w:numPr>
        <w:spacing w:after="0" w:line="240" w:lineRule="auto"/>
        <w:contextualSpacing w:val="0"/>
        <w:jc w:val="both"/>
        <w:rPr>
          <w:rFonts w:cstheme="minorHAnsi"/>
        </w:rPr>
      </w:pPr>
      <w:r w:rsidRPr="00342072">
        <w:t>S</w:t>
      </w:r>
      <w:r w:rsidR="008D24A5">
        <w:t>taff</w:t>
      </w:r>
      <w:r w:rsidRPr="00342072">
        <w:t xml:space="preserve"> pipeline</w:t>
      </w:r>
    </w:p>
    <w:p w14:paraId="0449F112" w14:textId="77777777" w:rsidR="00185E92" w:rsidRPr="008D24A5" w:rsidRDefault="00185E92" w:rsidP="00185E92">
      <w:pPr>
        <w:pStyle w:val="ListParagraph"/>
        <w:spacing w:after="0" w:line="240" w:lineRule="auto"/>
        <w:ind w:left="792"/>
        <w:contextualSpacing w:val="0"/>
        <w:jc w:val="both"/>
        <w:rPr>
          <w:rFonts w:cstheme="minorHAnsi"/>
        </w:rPr>
      </w:pPr>
    </w:p>
    <w:p w14:paraId="7D880C5E" w14:textId="77777777" w:rsidR="008D24A5" w:rsidRPr="00D10A09" w:rsidRDefault="008D24A5" w:rsidP="008D24A5">
      <w:pPr>
        <w:pStyle w:val="ListParagraph"/>
        <w:numPr>
          <w:ilvl w:val="2"/>
          <w:numId w:val="1"/>
        </w:numPr>
        <w:spacing w:after="0" w:line="240" w:lineRule="auto"/>
        <w:contextualSpacing w:val="0"/>
        <w:jc w:val="both"/>
        <w:rPr>
          <w:rFonts w:cstheme="minorHAnsi"/>
        </w:rPr>
      </w:pPr>
      <w:r w:rsidRPr="001C5784">
        <w:rPr>
          <w:rFonts w:cstheme="minorHAnsi"/>
          <w:b/>
        </w:rPr>
        <w:t>Disclosure rates and the representation</w:t>
      </w:r>
      <w:r>
        <w:rPr>
          <w:rFonts w:cstheme="minorHAnsi"/>
        </w:rPr>
        <w:t xml:space="preserve">: we need to improve disclosure and representation of minority ethnic staff (especially from </w:t>
      </w:r>
      <w:r w:rsidRPr="002C7AA1">
        <w:rPr>
          <w:rFonts w:cstheme="minorHAnsi"/>
        </w:rPr>
        <w:t>B</w:t>
      </w:r>
      <w:r>
        <w:rPr>
          <w:rFonts w:cstheme="minorHAnsi"/>
        </w:rPr>
        <w:t>lack and mixed ethnic backgrounds), particularly for UK academic staff. T</w:t>
      </w:r>
      <w:r w:rsidRPr="00D10A09">
        <w:rPr>
          <w:rFonts w:cstheme="minorHAnsi"/>
        </w:rPr>
        <w:t>here are only 36.7 FPE Black academics in the University.</w:t>
      </w:r>
    </w:p>
    <w:p w14:paraId="674F7F89" w14:textId="77777777" w:rsidR="008D24A5" w:rsidRPr="004A1540" w:rsidRDefault="008D24A5" w:rsidP="008D24A5">
      <w:pPr>
        <w:pStyle w:val="ListParagraph"/>
        <w:numPr>
          <w:ilvl w:val="2"/>
          <w:numId w:val="1"/>
        </w:numPr>
        <w:tabs>
          <w:tab w:val="left" w:pos="1843"/>
        </w:tabs>
        <w:spacing w:after="0" w:line="240" w:lineRule="auto"/>
        <w:contextualSpacing w:val="0"/>
        <w:jc w:val="both"/>
        <w:rPr>
          <w:rFonts w:cstheme="minorHAnsi"/>
        </w:rPr>
      </w:pPr>
      <w:r w:rsidRPr="004A1540">
        <w:rPr>
          <w:b/>
        </w:rPr>
        <w:t>Recruitment:</w:t>
      </w:r>
      <w:r>
        <w:t xml:space="preserve"> </w:t>
      </w:r>
      <w:r w:rsidRPr="00342072">
        <w:t xml:space="preserve">white applicants are more likely to </w:t>
      </w:r>
      <w:r>
        <w:t>be shortlisted and offered a role, whilst a</w:t>
      </w:r>
      <w:r w:rsidRPr="00342072">
        <w:t>cademic applicants from Black and other ethnic backgrounds are least likely to be shortlisted</w:t>
      </w:r>
      <w:r>
        <w:t xml:space="preserve"> (particularly in CSE and CLS)</w:t>
      </w:r>
      <w:r w:rsidRPr="00342072">
        <w:t xml:space="preserve">. </w:t>
      </w:r>
    </w:p>
    <w:p w14:paraId="6FDCA1AE" w14:textId="77777777" w:rsidR="008D24A5" w:rsidRPr="00D10A09" w:rsidRDefault="008D24A5" w:rsidP="008D24A5">
      <w:pPr>
        <w:pStyle w:val="ListParagraph"/>
        <w:numPr>
          <w:ilvl w:val="2"/>
          <w:numId w:val="1"/>
        </w:numPr>
        <w:spacing w:after="0" w:line="240" w:lineRule="auto"/>
        <w:contextualSpacing w:val="0"/>
        <w:jc w:val="both"/>
        <w:rPr>
          <w:rFonts w:cstheme="minorHAnsi"/>
        </w:rPr>
      </w:pPr>
      <w:r>
        <w:rPr>
          <w:b/>
        </w:rPr>
        <w:t>Grade and contracts:</w:t>
      </w:r>
      <w:r>
        <w:rPr>
          <w:rFonts w:cstheme="minorHAnsi"/>
        </w:rPr>
        <w:t xml:space="preserve"> </w:t>
      </w:r>
      <w:r w:rsidRPr="00D10A09">
        <w:rPr>
          <w:rFonts w:cstheme="minorHAnsi"/>
        </w:rPr>
        <w:t xml:space="preserve">Whilst the representation of </w:t>
      </w:r>
      <w:r>
        <w:rPr>
          <w:rFonts w:cstheme="minorHAnsi"/>
        </w:rPr>
        <w:t>minority ethnic</w:t>
      </w:r>
      <w:r w:rsidRPr="00D10A09">
        <w:rPr>
          <w:rFonts w:cstheme="minorHAnsi"/>
        </w:rPr>
        <w:t xml:space="preserve"> staff at higher grades is improving,</w:t>
      </w:r>
      <w:r w:rsidRPr="00D10A09">
        <w:t xml:space="preserve"> </w:t>
      </w:r>
      <w:r>
        <w:t>the</w:t>
      </w:r>
      <w:r w:rsidRPr="00342072">
        <w:t xml:space="preserve"> representation</w:t>
      </w:r>
      <w:r>
        <w:t xml:space="preserve"> of specific minority ethnic groups within the broader minority ethnic group are low.</w:t>
      </w:r>
      <w:r w:rsidRPr="00D10A09">
        <w:rPr>
          <w:rFonts w:cstheme="minorHAnsi"/>
        </w:rPr>
        <w:t xml:space="preserve"> </w:t>
      </w:r>
      <w:r>
        <w:rPr>
          <w:rFonts w:cstheme="minorHAnsi"/>
        </w:rPr>
        <w:t>Minority ethnic staff</w:t>
      </w:r>
      <w:r w:rsidRPr="00D10A09">
        <w:rPr>
          <w:rFonts w:cstheme="minorHAnsi"/>
        </w:rPr>
        <w:t xml:space="preserve"> academic staff are </w:t>
      </w:r>
      <w:r>
        <w:rPr>
          <w:rFonts w:cstheme="minorHAnsi"/>
        </w:rPr>
        <w:t xml:space="preserve">more likely to be on a fixed term contract. </w:t>
      </w:r>
      <w:r w:rsidRPr="00D10A09">
        <w:rPr>
          <w:rFonts w:cstheme="minorHAnsi"/>
        </w:rPr>
        <w:t>Almost twice as many white</w:t>
      </w:r>
      <w:r>
        <w:rPr>
          <w:rFonts w:cstheme="minorHAnsi"/>
        </w:rPr>
        <w:t xml:space="preserve"> academic</w:t>
      </w:r>
      <w:r w:rsidRPr="00D10A09">
        <w:rPr>
          <w:rFonts w:cstheme="minorHAnsi"/>
        </w:rPr>
        <w:t xml:space="preserve"> staff worked </w:t>
      </w:r>
      <w:r>
        <w:rPr>
          <w:rFonts w:cstheme="minorHAnsi"/>
        </w:rPr>
        <w:t>part-time</w:t>
      </w:r>
      <w:r w:rsidRPr="00D10A09">
        <w:rPr>
          <w:rFonts w:cstheme="minorHAnsi"/>
        </w:rPr>
        <w:t xml:space="preserve"> compared with</w:t>
      </w:r>
      <w:r>
        <w:rPr>
          <w:rFonts w:cstheme="minorHAnsi"/>
        </w:rPr>
        <w:t xml:space="preserve"> minority ethnic</w:t>
      </w:r>
      <w:r w:rsidRPr="00D10A09">
        <w:rPr>
          <w:rFonts w:cstheme="minorHAnsi"/>
        </w:rPr>
        <w:t xml:space="preserve"> academic</w:t>
      </w:r>
      <w:r>
        <w:rPr>
          <w:rFonts w:cstheme="minorHAnsi"/>
        </w:rPr>
        <w:t xml:space="preserve"> staff.</w:t>
      </w:r>
    </w:p>
    <w:p w14:paraId="7E337429" w14:textId="77777777" w:rsidR="008D24A5" w:rsidRPr="00D10A09" w:rsidRDefault="008D24A5" w:rsidP="008D24A5">
      <w:pPr>
        <w:pStyle w:val="ListParagraph"/>
        <w:numPr>
          <w:ilvl w:val="2"/>
          <w:numId w:val="1"/>
        </w:numPr>
        <w:spacing w:after="0" w:line="240" w:lineRule="auto"/>
        <w:contextualSpacing w:val="0"/>
        <w:jc w:val="both"/>
        <w:rPr>
          <w:rFonts w:cstheme="minorHAnsi"/>
        </w:rPr>
      </w:pPr>
      <w:r w:rsidRPr="00D10A09">
        <w:rPr>
          <w:rFonts w:cstheme="minorHAnsi"/>
          <w:b/>
        </w:rPr>
        <w:t>Career development:</w:t>
      </w:r>
      <w:r>
        <w:rPr>
          <w:rFonts w:cstheme="minorHAnsi"/>
          <w:b/>
        </w:rPr>
        <w:t xml:space="preserve"> </w:t>
      </w:r>
      <w:r w:rsidRPr="00342072">
        <w:t xml:space="preserve">There is no defined career development path for </w:t>
      </w:r>
      <w:r>
        <w:t>minority ethnic professional services</w:t>
      </w:r>
      <w:r w:rsidRPr="00342072">
        <w:t xml:space="preserve"> staff.</w:t>
      </w:r>
      <w:r>
        <w:t xml:space="preserve"> Promotions to P</w:t>
      </w:r>
      <w:r w:rsidRPr="00342072">
        <w:t xml:space="preserve">rofessor for those from </w:t>
      </w:r>
      <w:r>
        <w:t xml:space="preserve">minority ethnic </w:t>
      </w:r>
      <w:r w:rsidRPr="00342072">
        <w:t>backgrounds is very low</w:t>
      </w:r>
      <w:r>
        <w:t>.</w:t>
      </w:r>
      <w:r w:rsidRPr="00342072">
        <w:t xml:space="preserve"> There were no applications from CLS despite having the largest </w:t>
      </w:r>
      <w:r>
        <w:t>minority ethnic</w:t>
      </w:r>
      <w:r w:rsidRPr="00342072">
        <w:t xml:space="preserve"> representation.</w:t>
      </w:r>
      <w:r>
        <w:t xml:space="preserve"> </w:t>
      </w:r>
      <w:r w:rsidRPr="00342072">
        <w:t xml:space="preserve">Whilst the conversion rate for </w:t>
      </w:r>
      <w:r>
        <w:t xml:space="preserve">minority ethnic </w:t>
      </w:r>
      <w:r w:rsidRPr="00342072">
        <w:t>application</w:t>
      </w:r>
      <w:r>
        <w:t>s</w:t>
      </w:r>
      <w:r w:rsidRPr="00342072">
        <w:t xml:space="preserve"> for Associate Professor (AP) are higher, the number applying is still low. There are no applications to AP from Black staff over the 3 year period.</w:t>
      </w:r>
    </w:p>
    <w:p w14:paraId="098699ED" w14:textId="12DB6A5E" w:rsidR="008D24A5" w:rsidRPr="008D24A5" w:rsidRDefault="008D24A5" w:rsidP="008D24A5">
      <w:pPr>
        <w:pStyle w:val="ListParagraph"/>
        <w:numPr>
          <w:ilvl w:val="2"/>
          <w:numId w:val="1"/>
        </w:numPr>
        <w:tabs>
          <w:tab w:val="left" w:pos="1843"/>
        </w:tabs>
        <w:spacing w:after="0" w:line="240" w:lineRule="auto"/>
        <w:contextualSpacing w:val="0"/>
        <w:jc w:val="both"/>
        <w:rPr>
          <w:rFonts w:cstheme="minorHAnsi"/>
        </w:rPr>
      </w:pPr>
      <w:r>
        <w:rPr>
          <w:rFonts w:cstheme="minorHAnsi"/>
          <w:b/>
        </w:rPr>
        <w:t xml:space="preserve">University wide: </w:t>
      </w:r>
      <w:r w:rsidRPr="00342072">
        <w:t xml:space="preserve">The </w:t>
      </w:r>
      <w:r>
        <w:t>minority ethnic</w:t>
      </w:r>
      <w:r w:rsidRPr="00342072">
        <w:t xml:space="preserve"> representation of our Committees at University and College level needs to be improved.</w:t>
      </w:r>
      <w:r>
        <w:t xml:space="preserve"> </w:t>
      </w:r>
      <w:r w:rsidRPr="00105634">
        <w:rPr>
          <w:rFonts w:cstheme="minorHAnsi"/>
        </w:rPr>
        <w:t>There is an evidenced concern regarding the experiences of racial harassment</w:t>
      </w:r>
      <w:r>
        <w:rPr>
          <w:rFonts w:cstheme="minorHAnsi"/>
        </w:rPr>
        <w:t xml:space="preserve"> particularly in relation to the incidents which </w:t>
      </w:r>
      <w:r w:rsidR="00B57A9E">
        <w:rPr>
          <w:rFonts w:cstheme="minorHAnsi"/>
        </w:rPr>
        <w:t>are</w:t>
      </w:r>
      <w:r>
        <w:rPr>
          <w:rFonts w:cstheme="minorHAnsi"/>
        </w:rPr>
        <w:t xml:space="preserve"> not disclosed to the University</w:t>
      </w:r>
      <w:r w:rsidRPr="00105634">
        <w:rPr>
          <w:rFonts w:cstheme="minorHAnsi"/>
        </w:rPr>
        <w:t>.</w:t>
      </w:r>
      <w:r w:rsidR="00B57A9E">
        <w:rPr>
          <w:rStyle w:val="FootnoteReference"/>
          <w:rFonts w:cstheme="minorHAnsi"/>
        </w:rPr>
        <w:footnoteReference w:id="1"/>
      </w:r>
      <w:r w:rsidRPr="00105634">
        <w:rPr>
          <w:rFonts w:cstheme="minorHAnsi"/>
        </w:rPr>
        <w:t xml:space="preserve"> </w:t>
      </w:r>
      <w:r w:rsidRPr="00342072">
        <w:t>There were a disproportionally low proportion of staff from Asi</w:t>
      </w:r>
      <w:r>
        <w:t xml:space="preserve">an backgrounds and minority ethnic female staff submitted as part of the University’s REF 2021 return. The </w:t>
      </w:r>
      <w:r w:rsidRPr="00342072">
        <w:t xml:space="preserve">Ethnicity pay gap is most significant between white and </w:t>
      </w:r>
      <w:r>
        <w:t>minority ethnic PS staff at grades 9 and 10</w:t>
      </w:r>
      <w:r w:rsidRPr="00342072">
        <w:t>.</w:t>
      </w:r>
      <w:r>
        <w:t xml:space="preserve"> PS ethnicity pay gap is 14.7% and academic ethnicity pay gap is 10.7%.</w:t>
      </w:r>
    </w:p>
    <w:p w14:paraId="725B1C21" w14:textId="2EF6B77E" w:rsidR="00342072" w:rsidRPr="008D24A5" w:rsidRDefault="00342072" w:rsidP="008D24A5">
      <w:pPr>
        <w:spacing w:after="0" w:line="240" w:lineRule="auto"/>
        <w:jc w:val="both"/>
        <w:rPr>
          <w:rFonts w:cstheme="minorHAnsi"/>
        </w:rPr>
      </w:pPr>
    </w:p>
    <w:p w14:paraId="6DD97D0F" w14:textId="2C52FFB2" w:rsidR="00342072" w:rsidRDefault="00CA6DC2" w:rsidP="00342072">
      <w:pPr>
        <w:pStyle w:val="ListParagraph"/>
        <w:numPr>
          <w:ilvl w:val="0"/>
          <w:numId w:val="1"/>
        </w:numPr>
        <w:spacing w:after="0" w:line="240" w:lineRule="auto"/>
        <w:contextualSpacing w:val="0"/>
        <w:jc w:val="both"/>
        <w:rPr>
          <w:rFonts w:cstheme="minorHAnsi"/>
          <w:b/>
        </w:rPr>
      </w:pPr>
      <w:r w:rsidRPr="00342072">
        <w:rPr>
          <w:rFonts w:cstheme="minorHAnsi"/>
          <w:b/>
        </w:rPr>
        <w:t>Commended</w:t>
      </w:r>
    </w:p>
    <w:p w14:paraId="0728241D" w14:textId="45728A56" w:rsidR="00342072" w:rsidRDefault="00342072" w:rsidP="00342072">
      <w:pPr>
        <w:pStyle w:val="ListParagraph"/>
        <w:spacing w:after="0" w:line="240" w:lineRule="auto"/>
        <w:ind w:left="360"/>
        <w:contextualSpacing w:val="0"/>
        <w:jc w:val="both"/>
        <w:rPr>
          <w:rFonts w:cstheme="minorHAnsi"/>
          <w:b/>
        </w:rPr>
      </w:pPr>
    </w:p>
    <w:p w14:paraId="5631E513" w14:textId="2326497A" w:rsidR="00761D9F" w:rsidRDefault="00761D9F" w:rsidP="00342072">
      <w:pPr>
        <w:pStyle w:val="ListParagraph"/>
        <w:spacing w:after="0" w:line="240" w:lineRule="auto"/>
        <w:ind w:left="360"/>
        <w:contextualSpacing w:val="0"/>
        <w:jc w:val="both"/>
        <w:rPr>
          <w:rFonts w:cstheme="minorHAnsi"/>
          <w:b/>
        </w:rPr>
      </w:pPr>
      <w:r>
        <w:rPr>
          <w:rFonts w:cstheme="minorHAnsi"/>
          <w:b/>
        </w:rPr>
        <w:t>As part of its assessment, the RECM Review Panel commended the University in relation to the following:</w:t>
      </w:r>
    </w:p>
    <w:p w14:paraId="0101A5F1" w14:textId="77777777" w:rsidR="00761D9F" w:rsidRPr="00342072" w:rsidRDefault="00761D9F" w:rsidP="00342072">
      <w:pPr>
        <w:pStyle w:val="ListParagraph"/>
        <w:spacing w:after="0" w:line="240" w:lineRule="auto"/>
        <w:ind w:left="360"/>
        <w:contextualSpacing w:val="0"/>
        <w:jc w:val="both"/>
        <w:rPr>
          <w:rFonts w:cstheme="minorHAnsi"/>
          <w:b/>
        </w:rPr>
      </w:pPr>
    </w:p>
    <w:p w14:paraId="6DCBCAA7" w14:textId="53326957" w:rsidR="00342072" w:rsidRDefault="00CA6DC2" w:rsidP="002C7AA1">
      <w:pPr>
        <w:pStyle w:val="ListParagraph"/>
        <w:numPr>
          <w:ilvl w:val="3"/>
          <w:numId w:val="15"/>
        </w:numPr>
        <w:spacing w:after="0" w:line="240" w:lineRule="auto"/>
        <w:contextualSpacing w:val="0"/>
        <w:jc w:val="both"/>
        <w:rPr>
          <w:rFonts w:cstheme="minorHAnsi"/>
        </w:rPr>
      </w:pPr>
      <w:r w:rsidRPr="00342072">
        <w:rPr>
          <w:rFonts w:cstheme="minorHAnsi"/>
        </w:rPr>
        <w:t>Composition and member engagement of groups which fo</w:t>
      </w:r>
      <w:r w:rsidR="009A17BE">
        <w:rPr>
          <w:rFonts w:cstheme="minorHAnsi"/>
        </w:rPr>
        <w:t>rm</w:t>
      </w:r>
      <w:r w:rsidRPr="00342072">
        <w:rPr>
          <w:rFonts w:cstheme="minorHAnsi"/>
        </w:rPr>
        <w:t xml:space="preserve"> our EDI governance structure.</w:t>
      </w:r>
    </w:p>
    <w:p w14:paraId="07BACD33" w14:textId="26FB48DC" w:rsidR="00342072" w:rsidRPr="004A1540" w:rsidRDefault="009A17BE" w:rsidP="004A1540">
      <w:pPr>
        <w:pStyle w:val="ListParagraph"/>
        <w:numPr>
          <w:ilvl w:val="3"/>
          <w:numId w:val="15"/>
        </w:numPr>
        <w:spacing w:after="0" w:line="240" w:lineRule="auto"/>
        <w:contextualSpacing w:val="0"/>
        <w:jc w:val="both"/>
        <w:rPr>
          <w:rFonts w:cstheme="minorHAnsi"/>
        </w:rPr>
      </w:pPr>
      <w:r>
        <w:rPr>
          <w:rFonts w:cstheme="minorHAnsi"/>
        </w:rPr>
        <w:t xml:space="preserve">Development and implementation of race related </w:t>
      </w:r>
      <w:r w:rsidR="004A1540">
        <w:rPr>
          <w:rFonts w:cstheme="minorHAnsi"/>
        </w:rPr>
        <w:t xml:space="preserve">activity </w:t>
      </w:r>
      <w:r>
        <w:rPr>
          <w:rFonts w:cstheme="minorHAnsi"/>
        </w:rPr>
        <w:t>which has been recognised at a s</w:t>
      </w:r>
      <w:r w:rsidR="00CA6DC2" w:rsidRPr="00342072">
        <w:rPr>
          <w:rFonts w:cstheme="minorHAnsi"/>
        </w:rPr>
        <w:t>ector level</w:t>
      </w:r>
      <w:r>
        <w:rPr>
          <w:rFonts w:cstheme="minorHAnsi"/>
        </w:rPr>
        <w:t xml:space="preserve">- </w:t>
      </w:r>
      <w:r w:rsidR="00CA6DC2" w:rsidRPr="00342072">
        <w:rPr>
          <w:rFonts w:cstheme="minorHAnsi"/>
        </w:rPr>
        <w:t>Vice Chancellor’s involvement externally, research</w:t>
      </w:r>
      <w:r w:rsidR="004A1540">
        <w:rPr>
          <w:rFonts w:cstheme="minorHAnsi"/>
        </w:rPr>
        <w:t xml:space="preserve"> on Decolonising the Curriculum</w:t>
      </w:r>
      <w:r w:rsidR="00CA6DC2" w:rsidRPr="00342072">
        <w:rPr>
          <w:rFonts w:cstheme="minorHAnsi"/>
        </w:rPr>
        <w:t xml:space="preserve">, </w:t>
      </w:r>
      <w:r w:rsidR="004A1540">
        <w:rPr>
          <w:rFonts w:cstheme="minorHAnsi"/>
        </w:rPr>
        <w:t xml:space="preserve">development of </w:t>
      </w:r>
      <w:r w:rsidR="00CA6DC2" w:rsidRPr="00342072">
        <w:rPr>
          <w:rFonts w:cstheme="minorHAnsi"/>
        </w:rPr>
        <w:t>UL</w:t>
      </w:r>
      <w:r w:rsidR="004A1540">
        <w:rPr>
          <w:rFonts w:cstheme="minorHAnsi"/>
        </w:rPr>
        <w:t>I</w:t>
      </w:r>
      <w:r w:rsidR="00CA6DC2" w:rsidRPr="00342072">
        <w:rPr>
          <w:rFonts w:cstheme="minorHAnsi"/>
        </w:rPr>
        <w:t>IHE</w:t>
      </w:r>
      <w:r w:rsidR="004A1540">
        <w:rPr>
          <w:rFonts w:cstheme="minorHAnsi"/>
        </w:rPr>
        <w:t>, g</w:t>
      </w:r>
      <w:r w:rsidR="004A1540" w:rsidRPr="00342072">
        <w:rPr>
          <w:rFonts w:cstheme="minorHAnsi"/>
        </w:rPr>
        <w:t>uide to Race Related Terminology</w:t>
      </w:r>
      <w:r w:rsidR="004A1540">
        <w:rPr>
          <w:rFonts w:cstheme="minorHAnsi"/>
        </w:rPr>
        <w:t>,</w:t>
      </w:r>
    </w:p>
    <w:p w14:paraId="7FE0EBE8" w14:textId="77777777" w:rsidR="00342072" w:rsidRDefault="007A3605" w:rsidP="002C7AA1">
      <w:pPr>
        <w:pStyle w:val="ListParagraph"/>
        <w:numPr>
          <w:ilvl w:val="3"/>
          <w:numId w:val="15"/>
        </w:numPr>
        <w:spacing w:after="0" w:line="240" w:lineRule="auto"/>
        <w:contextualSpacing w:val="0"/>
        <w:jc w:val="both"/>
        <w:rPr>
          <w:rFonts w:cstheme="minorHAnsi"/>
        </w:rPr>
      </w:pPr>
      <w:r w:rsidRPr="00342072">
        <w:rPr>
          <w:rFonts w:cstheme="minorHAnsi"/>
        </w:rPr>
        <w:t>Candid approach to data analysis for staff and student pipelines.</w:t>
      </w:r>
    </w:p>
    <w:p w14:paraId="6D47B8D0" w14:textId="77777777" w:rsidR="00342072" w:rsidRDefault="007A3605" w:rsidP="002C7AA1">
      <w:pPr>
        <w:pStyle w:val="ListParagraph"/>
        <w:numPr>
          <w:ilvl w:val="3"/>
          <w:numId w:val="15"/>
        </w:numPr>
        <w:spacing w:after="0" w:line="240" w:lineRule="auto"/>
        <w:contextualSpacing w:val="0"/>
        <w:jc w:val="both"/>
        <w:rPr>
          <w:rFonts w:cstheme="minorHAnsi"/>
        </w:rPr>
      </w:pPr>
      <w:r w:rsidRPr="00342072">
        <w:rPr>
          <w:rFonts w:cstheme="minorHAnsi"/>
        </w:rPr>
        <w:t>Ethnicity</w:t>
      </w:r>
      <w:r w:rsidR="00CA6DC2" w:rsidRPr="00342072">
        <w:rPr>
          <w:rFonts w:cstheme="minorHAnsi"/>
        </w:rPr>
        <w:t xml:space="preserve"> pay gap reporting.</w:t>
      </w:r>
    </w:p>
    <w:p w14:paraId="2C0119A3" w14:textId="77777777" w:rsidR="00105634" w:rsidRDefault="00CA6DC2" w:rsidP="00105634">
      <w:pPr>
        <w:pStyle w:val="ListParagraph"/>
        <w:numPr>
          <w:ilvl w:val="3"/>
          <w:numId w:val="15"/>
        </w:numPr>
        <w:spacing w:after="0" w:line="240" w:lineRule="auto"/>
        <w:contextualSpacing w:val="0"/>
        <w:jc w:val="both"/>
        <w:rPr>
          <w:rFonts w:cstheme="minorHAnsi"/>
        </w:rPr>
      </w:pPr>
      <w:r w:rsidRPr="00342072">
        <w:rPr>
          <w:rFonts w:cstheme="minorHAnsi"/>
        </w:rPr>
        <w:t>Positive Action in Recruitment toolkit.</w:t>
      </w:r>
    </w:p>
    <w:p w14:paraId="102DA1DF" w14:textId="008C9371" w:rsidR="00CA6DC2" w:rsidRPr="00105634" w:rsidRDefault="00CA6DC2" w:rsidP="00105634">
      <w:pPr>
        <w:pStyle w:val="ListParagraph"/>
        <w:numPr>
          <w:ilvl w:val="3"/>
          <w:numId w:val="15"/>
        </w:numPr>
        <w:spacing w:after="0" w:line="240" w:lineRule="auto"/>
        <w:contextualSpacing w:val="0"/>
        <w:jc w:val="both"/>
        <w:rPr>
          <w:rFonts w:cstheme="minorHAnsi"/>
        </w:rPr>
      </w:pPr>
      <w:r w:rsidRPr="00105634">
        <w:rPr>
          <w:rFonts w:cstheme="minorHAnsi"/>
        </w:rPr>
        <w:t xml:space="preserve">Range of initiatives in place to embed EDI and </w:t>
      </w:r>
      <w:r w:rsidR="007A3605" w:rsidRPr="00105634">
        <w:rPr>
          <w:rFonts w:cstheme="minorHAnsi"/>
        </w:rPr>
        <w:t>race equ</w:t>
      </w:r>
      <w:r w:rsidR="00D339BE" w:rsidRPr="00105634">
        <w:rPr>
          <w:rFonts w:cstheme="minorHAnsi"/>
        </w:rPr>
        <w:t>ity</w:t>
      </w:r>
      <w:r w:rsidR="007A3605" w:rsidRPr="00105634">
        <w:rPr>
          <w:rFonts w:cstheme="minorHAnsi"/>
        </w:rPr>
        <w:t xml:space="preserve"> in course content, and, teaching and assessment.</w:t>
      </w:r>
    </w:p>
    <w:p w14:paraId="7D96A253" w14:textId="77777777" w:rsidR="00CA6DC2" w:rsidRPr="00D8595B" w:rsidRDefault="00CA6DC2" w:rsidP="00D8595B">
      <w:pPr>
        <w:spacing w:after="0" w:line="240" w:lineRule="auto"/>
        <w:rPr>
          <w:rFonts w:cstheme="minorHAnsi"/>
        </w:rPr>
      </w:pPr>
    </w:p>
    <w:p w14:paraId="775FDC9E" w14:textId="2B69A98B" w:rsidR="00BC5035" w:rsidRDefault="00FD1B93" w:rsidP="00EF169D">
      <w:pPr>
        <w:pStyle w:val="ListParagraph"/>
        <w:numPr>
          <w:ilvl w:val="0"/>
          <w:numId w:val="1"/>
        </w:numPr>
        <w:spacing w:after="0" w:line="240" w:lineRule="auto"/>
        <w:contextualSpacing w:val="0"/>
        <w:jc w:val="both"/>
        <w:rPr>
          <w:rFonts w:cstheme="minorHAnsi"/>
          <w:b/>
        </w:rPr>
      </w:pPr>
      <w:r>
        <w:rPr>
          <w:rFonts w:cstheme="minorHAnsi"/>
          <w:b/>
        </w:rPr>
        <w:t>Action plan overview and delivery</w:t>
      </w:r>
    </w:p>
    <w:p w14:paraId="0F99F6DE" w14:textId="77777777" w:rsidR="00342072" w:rsidRDefault="00342072" w:rsidP="00342072">
      <w:pPr>
        <w:pStyle w:val="ListParagraph"/>
        <w:spacing w:after="0" w:line="240" w:lineRule="auto"/>
        <w:ind w:left="360"/>
        <w:contextualSpacing w:val="0"/>
        <w:jc w:val="both"/>
        <w:rPr>
          <w:rFonts w:cstheme="minorHAnsi"/>
          <w:b/>
        </w:rPr>
      </w:pPr>
    </w:p>
    <w:p w14:paraId="3266E4EB" w14:textId="0C40EC63" w:rsidR="006F3531" w:rsidRDefault="000659B7" w:rsidP="006F3531">
      <w:pPr>
        <w:pStyle w:val="ListParagraph"/>
        <w:numPr>
          <w:ilvl w:val="1"/>
          <w:numId w:val="1"/>
        </w:numPr>
        <w:spacing w:after="0" w:line="240" w:lineRule="auto"/>
        <w:contextualSpacing w:val="0"/>
        <w:jc w:val="both"/>
        <w:rPr>
          <w:rFonts w:cstheme="minorHAnsi"/>
        </w:rPr>
      </w:pPr>
      <w:r w:rsidRPr="006F3531">
        <w:rPr>
          <w:rFonts w:cstheme="minorHAnsi"/>
        </w:rPr>
        <w:t xml:space="preserve">There are currently </w:t>
      </w:r>
      <w:r w:rsidR="006F3531">
        <w:rPr>
          <w:rFonts w:cstheme="minorHAnsi"/>
        </w:rPr>
        <w:t>77</w:t>
      </w:r>
      <w:r w:rsidRPr="006F3531">
        <w:rPr>
          <w:rFonts w:cstheme="minorHAnsi"/>
        </w:rPr>
        <w:t xml:space="preserve"> actions featured within our </w:t>
      </w:r>
      <w:r w:rsidR="006A4186">
        <w:rPr>
          <w:rFonts w:cstheme="minorHAnsi"/>
        </w:rPr>
        <w:t>RECM</w:t>
      </w:r>
      <w:r w:rsidR="001B3B0F">
        <w:rPr>
          <w:rFonts w:cstheme="minorHAnsi"/>
        </w:rPr>
        <w:t xml:space="preserve"> action plan, which relate to</w:t>
      </w:r>
      <w:r w:rsidRPr="006F3531">
        <w:rPr>
          <w:rFonts w:cstheme="minorHAnsi"/>
        </w:rPr>
        <w:t xml:space="preserve"> 7 themes within the submission</w:t>
      </w:r>
      <w:r w:rsidR="00EC0DED">
        <w:rPr>
          <w:rFonts w:cstheme="minorHAnsi"/>
        </w:rPr>
        <w:t>:</w:t>
      </w:r>
    </w:p>
    <w:p w14:paraId="2E01BB92" w14:textId="093B4E86" w:rsidR="00067178" w:rsidRPr="00855A9B" w:rsidRDefault="000659B7" w:rsidP="002C7AA1">
      <w:pPr>
        <w:pStyle w:val="ListParagraph"/>
        <w:numPr>
          <w:ilvl w:val="3"/>
          <w:numId w:val="16"/>
        </w:numPr>
        <w:spacing w:after="0" w:line="240" w:lineRule="auto"/>
        <w:jc w:val="both"/>
        <w:rPr>
          <w:rFonts w:cstheme="minorHAnsi"/>
        </w:rPr>
      </w:pPr>
      <w:r w:rsidRPr="006F3531">
        <w:rPr>
          <w:rFonts w:cstheme="minorHAnsi"/>
        </w:rPr>
        <w:t>The Self-</w:t>
      </w:r>
      <w:r w:rsidR="006F3531" w:rsidRPr="006F3531">
        <w:rPr>
          <w:rFonts w:cstheme="minorHAnsi"/>
        </w:rPr>
        <w:t>Assessment</w:t>
      </w:r>
      <w:r w:rsidR="001F20DB">
        <w:rPr>
          <w:rFonts w:cstheme="minorHAnsi"/>
        </w:rPr>
        <w:t xml:space="preserve"> Process (11</w:t>
      </w:r>
      <w:r w:rsidRPr="006F3531">
        <w:rPr>
          <w:rFonts w:cstheme="minorHAnsi"/>
        </w:rPr>
        <w:t xml:space="preserve"> actions)</w:t>
      </w:r>
      <w:r w:rsidR="008B78BD">
        <w:rPr>
          <w:rFonts w:cstheme="minorHAnsi"/>
        </w:rPr>
        <w:t>.</w:t>
      </w:r>
    </w:p>
    <w:p w14:paraId="2FB0A303" w14:textId="38BE3F21" w:rsidR="006F3531" w:rsidRDefault="000659B7" w:rsidP="002C7AA1">
      <w:pPr>
        <w:pStyle w:val="ListParagraph"/>
        <w:numPr>
          <w:ilvl w:val="3"/>
          <w:numId w:val="16"/>
        </w:numPr>
        <w:spacing w:after="0" w:line="240" w:lineRule="auto"/>
        <w:jc w:val="both"/>
        <w:rPr>
          <w:rFonts w:cstheme="minorHAnsi"/>
        </w:rPr>
      </w:pPr>
      <w:r w:rsidRPr="006F3531">
        <w:rPr>
          <w:rFonts w:cstheme="minorHAnsi"/>
        </w:rPr>
        <w:t xml:space="preserve">Staff </w:t>
      </w:r>
      <w:r w:rsidR="001F20DB">
        <w:rPr>
          <w:rFonts w:cstheme="minorHAnsi"/>
        </w:rPr>
        <w:t>profile (11</w:t>
      </w:r>
      <w:r w:rsidRPr="006F3531">
        <w:rPr>
          <w:rFonts w:cstheme="minorHAnsi"/>
        </w:rPr>
        <w:t xml:space="preserve"> actions)</w:t>
      </w:r>
    </w:p>
    <w:p w14:paraId="6CABC021" w14:textId="5FAEE74F" w:rsidR="006F3531" w:rsidRDefault="000659B7" w:rsidP="002C7AA1">
      <w:pPr>
        <w:pStyle w:val="ListParagraph"/>
        <w:numPr>
          <w:ilvl w:val="3"/>
          <w:numId w:val="16"/>
        </w:numPr>
        <w:spacing w:after="0" w:line="240" w:lineRule="auto"/>
        <w:jc w:val="both"/>
        <w:rPr>
          <w:rFonts w:cstheme="minorHAnsi"/>
        </w:rPr>
      </w:pPr>
      <w:r w:rsidRPr="006F3531">
        <w:rPr>
          <w:rFonts w:cstheme="minorHAnsi"/>
        </w:rPr>
        <w:lastRenderedPageBreak/>
        <w:t>Academic Staff- Recruitment,</w:t>
      </w:r>
      <w:r w:rsidR="001F20DB">
        <w:rPr>
          <w:rFonts w:cstheme="minorHAnsi"/>
        </w:rPr>
        <w:t xml:space="preserve"> Progression and Development (19</w:t>
      </w:r>
      <w:r w:rsidRPr="006F3531">
        <w:rPr>
          <w:rFonts w:cstheme="minorHAnsi"/>
        </w:rPr>
        <w:t xml:space="preserve"> actions)</w:t>
      </w:r>
    </w:p>
    <w:p w14:paraId="6477DB55" w14:textId="4026D73D" w:rsidR="006F3531" w:rsidRDefault="000659B7" w:rsidP="002C7AA1">
      <w:pPr>
        <w:pStyle w:val="ListParagraph"/>
        <w:numPr>
          <w:ilvl w:val="3"/>
          <w:numId w:val="16"/>
        </w:numPr>
        <w:spacing w:after="0" w:line="240" w:lineRule="auto"/>
        <w:jc w:val="both"/>
        <w:rPr>
          <w:rFonts w:cstheme="minorHAnsi"/>
        </w:rPr>
      </w:pPr>
      <w:r w:rsidRPr="006F3531">
        <w:rPr>
          <w:rFonts w:cstheme="minorHAnsi"/>
        </w:rPr>
        <w:t>Professional and Support Staff-</w:t>
      </w:r>
      <w:r w:rsidR="006F3531" w:rsidRPr="006F3531">
        <w:rPr>
          <w:rFonts w:cstheme="minorHAnsi"/>
        </w:rPr>
        <w:t xml:space="preserve"> Recruitment, Progression and Development</w:t>
      </w:r>
      <w:r w:rsidR="006F3531">
        <w:rPr>
          <w:rFonts w:cstheme="minorHAnsi"/>
        </w:rPr>
        <w:t xml:space="preserve"> (4</w:t>
      </w:r>
      <w:r w:rsidR="006F3531" w:rsidRPr="006F3531">
        <w:rPr>
          <w:rFonts w:cstheme="minorHAnsi"/>
        </w:rPr>
        <w:t xml:space="preserve"> actions)</w:t>
      </w:r>
    </w:p>
    <w:p w14:paraId="4B4584BC" w14:textId="77777777" w:rsidR="006F3531" w:rsidRDefault="006F3531" w:rsidP="002C7AA1">
      <w:pPr>
        <w:pStyle w:val="ListParagraph"/>
        <w:numPr>
          <w:ilvl w:val="3"/>
          <w:numId w:val="16"/>
        </w:numPr>
        <w:spacing w:after="0" w:line="240" w:lineRule="auto"/>
        <w:jc w:val="both"/>
        <w:rPr>
          <w:rFonts w:cstheme="minorHAnsi"/>
        </w:rPr>
      </w:pPr>
      <w:r w:rsidRPr="006F3531">
        <w:rPr>
          <w:rFonts w:cstheme="minorHAnsi"/>
        </w:rPr>
        <w:t>Student Pipeline (17 actions)</w:t>
      </w:r>
    </w:p>
    <w:p w14:paraId="40153DF8" w14:textId="39FF6008" w:rsidR="006F3531" w:rsidRDefault="006F3531" w:rsidP="002C7AA1">
      <w:pPr>
        <w:pStyle w:val="ListParagraph"/>
        <w:numPr>
          <w:ilvl w:val="3"/>
          <w:numId w:val="16"/>
        </w:numPr>
        <w:spacing w:after="0" w:line="240" w:lineRule="auto"/>
        <w:jc w:val="both"/>
        <w:rPr>
          <w:rFonts w:cstheme="minorHAnsi"/>
        </w:rPr>
      </w:pPr>
      <w:r w:rsidRPr="006F3531">
        <w:rPr>
          <w:rFonts w:cstheme="minorHAnsi"/>
        </w:rPr>
        <w:t>Course Content/syllabus (15 actions)</w:t>
      </w:r>
    </w:p>
    <w:p w14:paraId="1513F7D6" w14:textId="77777777" w:rsidR="00937EEC" w:rsidRDefault="00937EEC" w:rsidP="00937EEC">
      <w:pPr>
        <w:pStyle w:val="ListParagraph"/>
        <w:spacing w:after="0" w:line="240" w:lineRule="auto"/>
        <w:ind w:left="1728"/>
        <w:jc w:val="both"/>
        <w:rPr>
          <w:rFonts w:cstheme="minorHAnsi"/>
        </w:rPr>
      </w:pPr>
    </w:p>
    <w:p w14:paraId="3C72D9CE" w14:textId="3A1799EB" w:rsidR="00EC0DED" w:rsidRDefault="00EC0DED" w:rsidP="00EC0DED">
      <w:pPr>
        <w:pStyle w:val="ListParagraph"/>
        <w:numPr>
          <w:ilvl w:val="1"/>
          <w:numId w:val="1"/>
        </w:numPr>
        <w:spacing w:after="0" w:line="240" w:lineRule="auto"/>
        <w:jc w:val="both"/>
        <w:rPr>
          <w:rFonts w:cstheme="minorHAnsi"/>
        </w:rPr>
      </w:pPr>
      <w:r>
        <w:rPr>
          <w:rFonts w:cstheme="minorHAnsi"/>
        </w:rPr>
        <w:t>Below is an summary of the key actions:</w:t>
      </w:r>
    </w:p>
    <w:p w14:paraId="3678A9A8" w14:textId="77777777" w:rsidR="00937EEC" w:rsidRDefault="00937EEC" w:rsidP="00937EEC">
      <w:pPr>
        <w:pStyle w:val="ListParagraph"/>
        <w:spacing w:after="0" w:line="240" w:lineRule="auto"/>
        <w:ind w:left="792"/>
        <w:jc w:val="both"/>
        <w:rPr>
          <w:rFonts w:cstheme="minorHAnsi"/>
        </w:rPr>
      </w:pPr>
    </w:p>
    <w:p w14:paraId="42AC88FA" w14:textId="31665049" w:rsidR="00EC0DED" w:rsidRDefault="008D24A5" w:rsidP="00EC0DED">
      <w:pPr>
        <w:pStyle w:val="ListParagraph"/>
        <w:numPr>
          <w:ilvl w:val="3"/>
          <w:numId w:val="1"/>
        </w:numPr>
        <w:spacing w:after="0" w:line="240" w:lineRule="auto"/>
        <w:jc w:val="both"/>
        <w:rPr>
          <w:rFonts w:cstheme="minorHAnsi"/>
        </w:rPr>
      </w:pPr>
      <w:r>
        <w:rPr>
          <w:rFonts w:cstheme="minorHAnsi"/>
        </w:rPr>
        <w:t>Student</w:t>
      </w:r>
      <w:r w:rsidR="00EC0DED">
        <w:rPr>
          <w:rFonts w:cstheme="minorHAnsi"/>
        </w:rPr>
        <w:t xml:space="preserve"> pipeline</w:t>
      </w:r>
    </w:p>
    <w:p w14:paraId="2E8FE179" w14:textId="77777777" w:rsidR="00B844AD" w:rsidRDefault="00B844AD" w:rsidP="00B844AD">
      <w:pPr>
        <w:pStyle w:val="ListParagraph"/>
        <w:spacing w:after="0" w:line="240" w:lineRule="auto"/>
        <w:ind w:left="1728"/>
        <w:jc w:val="both"/>
        <w:rPr>
          <w:rFonts w:cstheme="minorHAnsi"/>
        </w:rPr>
      </w:pPr>
    </w:p>
    <w:p w14:paraId="13631CB3" w14:textId="77777777" w:rsidR="008D24A5" w:rsidRPr="002C7AA1" w:rsidRDefault="008D24A5" w:rsidP="008D24A5">
      <w:pPr>
        <w:pStyle w:val="ListParagraph"/>
        <w:numPr>
          <w:ilvl w:val="2"/>
          <w:numId w:val="22"/>
        </w:numPr>
        <w:spacing w:after="0" w:line="240" w:lineRule="auto"/>
        <w:jc w:val="both"/>
        <w:rPr>
          <w:rFonts w:cstheme="minorHAnsi"/>
        </w:rPr>
      </w:pPr>
      <w:r w:rsidRPr="00105634">
        <w:rPr>
          <w:b/>
        </w:rPr>
        <w:t>Admissions:</w:t>
      </w:r>
      <w:r>
        <w:t xml:space="preserve"> </w:t>
      </w:r>
      <w:r w:rsidRPr="002C7AA1">
        <w:rPr>
          <w:rFonts w:cstheme="minorHAnsi"/>
        </w:rPr>
        <w:t xml:space="preserve">Narrow the gap in the application and offer rates for </w:t>
      </w:r>
      <w:r>
        <w:rPr>
          <w:rFonts w:cstheme="minorHAnsi"/>
        </w:rPr>
        <w:t>minority ethnic</w:t>
      </w:r>
      <w:r w:rsidRPr="002C7AA1">
        <w:rPr>
          <w:rFonts w:cstheme="minorHAnsi"/>
        </w:rPr>
        <w:t xml:space="preserve"> applicants through revising related strategies, processes and undertaking further qualitative analysis to better understand experiences and barriers.</w:t>
      </w:r>
    </w:p>
    <w:p w14:paraId="5C50B0B4" w14:textId="77777777" w:rsidR="008D24A5" w:rsidRPr="003A2B0A" w:rsidRDefault="008D24A5" w:rsidP="008D24A5">
      <w:pPr>
        <w:pStyle w:val="ListParagraph"/>
        <w:numPr>
          <w:ilvl w:val="2"/>
          <w:numId w:val="22"/>
        </w:numPr>
        <w:spacing w:after="0" w:line="240" w:lineRule="auto"/>
        <w:contextualSpacing w:val="0"/>
        <w:jc w:val="both"/>
        <w:rPr>
          <w:rFonts w:cstheme="minorHAnsi"/>
        </w:rPr>
      </w:pPr>
      <w:r w:rsidRPr="003A2B0A">
        <w:rPr>
          <w:b/>
        </w:rPr>
        <w:t>Continuation</w:t>
      </w:r>
      <w:r>
        <w:t>:</w:t>
      </w:r>
      <w:r w:rsidRPr="00342072">
        <w:t xml:space="preserve"> </w:t>
      </w:r>
      <w:r w:rsidRPr="003A2B0A">
        <w:rPr>
          <w:rFonts w:cstheme="minorHAnsi"/>
        </w:rPr>
        <w:t xml:space="preserve">Better support our </w:t>
      </w:r>
      <w:r>
        <w:rPr>
          <w:rFonts w:cstheme="minorHAnsi"/>
        </w:rPr>
        <w:t>minority ethnic</w:t>
      </w:r>
      <w:r w:rsidRPr="003A2B0A">
        <w:rPr>
          <w:rFonts w:cstheme="minorHAnsi"/>
        </w:rPr>
        <w:t xml:space="preserve"> students to improve progression rates through developing and implementing School level initiatives and University level engagement and support activity.</w:t>
      </w:r>
    </w:p>
    <w:p w14:paraId="5244F0A5" w14:textId="593C410A" w:rsidR="008D24A5" w:rsidRDefault="008D24A5" w:rsidP="008D24A5">
      <w:pPr>
        <w:pStyle w:val="ListParagraph"/>
        <w:numPr>
          <w:ilvl w:val="2"/>
          <w:numId w:val="22"/>
        </w:numPr>
        <w:spacing w:after="0" w:line="240" w:lineRule="auto"/>
        <w:contextualSpacing w:val="0"/>
        <w:jc w:val="both"/>
        <w:rPr>
          <w:rFonts w:cstheme="minorHAnsi"/>
        </w:rPr>
      </w:pPr>
      <w:r w:rsidRPr="003A2B0A">
        <w:rPr>
          <w:b/>
        </w:rPr>
        <w:t>Awarding Gap:</w:t>
      </w:r>
      <w:r>
        <w:t xml:space="preserve"> </w:t>
      </w:r>
      <w:r w:rsidRPr="003A2B0A">
        <w:rPr>
          <w:rFonts w:cstheme="minorHAnsi"/>
        </w:rPr>
        <w:t xml:space="preserve">Continue to develop and deliver on our mission to reduce the awarding gap and improve satisfaction for </w:t>
      </w:r>
      <w:r>
        <w:rPr>
          <w:rFonts w:cstheme="minorHAnsi"/>
        </w:rPr>
        <w:t>minority ethnic</w:t>
      </w:r>
      <w:r w:rsidRPr="003A2B0A">
        <w:rPr>
          <w:rFonts w:cstheme="minorHAnsi"/>
        </w:rPr>
        <w:t xml:space="preserve"> students through a series on University and School level initiatives and programmes.</w:t>
      </w:r>
    </w:p>
    <w:p w14:paraId="77980142" w14:textId="517C3D0A" w:rsidR="00463E65" w:rsidRDefault="00463E65" w:rsidP="008D24A5">
      <w:pPr>
        <w:pStyle w:val="ListParagraph"/>
        <w:numPr>
          <w:ilvl w:val="2"/>
          <w:numId w:val="22"/>
        </w:numPr>
        <w:spacing w:after="0" w:line="240" w:lineRule="auto"/>
        <w:contextualSpacing w:val="0"/>
        <w:jc w:val="both"/>
        <w:rPr>
          <w:rFonts w:cstheme="minorHAnsi"/>
        </w:rPr>
      </w:pPr>
      <w:r>
        <w:rPr>
          <w:b/>
        </w:rPr>
        <w:t>Postgraduate pipeline:</w:t>
      </w:r>
      <w:r w:rsidR="00C317A2">
        <w:rPr>
          <w:b/>
        </w:rPr>
        <w:t xml:space="preserve"> </w:t>
      </w:r>
      <w:r w:rsidR="00C317A2">
        <w:t>Develop and deliver a series of targeted interventions and initiatives, including- career coaches, work experience opportunities, career events, integrating the Leicester Award into undergraduate programmes.</w:t>
      </w:r>
    </w:p>
    <w:p w14:paraId="32ABEE18" w14:textId="799AC43F" w:rsidR="00463E65" w:rsidRPr="00463E65" w:rsidRDefault="00463E65" w:rsidP="008D24A5">
      <w:pPr>
        <w:pStyle w:val="ListParagraph"/>
        <w:numPr>
          <w:ilvl w:val="2"/>
          <w:numId w:val="22"/>
        </w:numPr>
        <w:spacing w:after="0" w:line="240" w:lineRule="auto"/>
        <w:contextualSpacing w:val="0"/>
        <w:jc w:val="both"/>
        <w:rPr>
          <w:rFonts w:cstheme="minorHAnsi"/>
          <w:b/>
        </w:rPr>
      </w:pPr>
      <w:r w:rsidRPr="00463E65">
        <w:rPr>
          <w:rFonts w:cstheme="minorHAnsi"/>
          <w:b/>
        </w:rPr>
        <w:t>Teaching and learning:</w:t>
      </w:r>
      <w:r w:rsidR="00C317A2">
        <w:rPr>
          <w:rFonts w:cstheme="minorHAnsi"/>
          <w:b/>
        </w:rPr>
        <w:t xml:space="preserve"> </w:t>
      </w:r>
      <w:r w:rsidR="00C317A2">
        <w:rPr>
          <w:rFonts w:cstheme="minorHAnsi"/>
        </w:rPr>
        <w:t>Develop and provide an inclusive and accessible education for all students through a range of interventions including: Work with Schools to embed a Racial Inclusivity Toolkit and development of a Racial Inclusivity Action Pl</w:t>
      </w:r>
      <w:r w:rsidR="006E0A99">
        <w:rPr>
          <w:rFonts w:cstheme="minorHAnsi"/>
        </w:rPr>
        <w:t xml:space="preserve">an; </w:t>
      </w:r>
      <w:r w:rsidR="00C317A2">
        <w:rPr>
          <w:rFonts w:cstheme="minorHAnsi"/>
        </w:rPr>
        <w:t>implement and monitor mechanisms to ensure race equity is integrated within all aspects of programme development</w:t>
      </w:r>
      <w:r w:rsidR="006E0A99">
        <w:rPr>
          <w:rFonts w:cstheme="minorHAnsi"/>
        </w:rPr>
        <w:t xml:space="preserve"> delivery, assessment,</w:t>
      </w:r>
      <w:r w:rsidR="00C317A2">
        <w:rPr>
          <w:rFonts w:cstheme="minorHAnsi"/>
        </w:rPr>
        <w:t xml:space="preserve"> approval and review</w:t>
      </w:r>
      <w:r w:rsidR="006E0A99">
        <w:rPr>
          <w:rFonts w:cstheme="minorHAnsi"/>
        </w:rPr>
        <w:t>; development of an inclusivity rubric for use by academic to diversify their teaching; promote training and learning relating to Black history and cultures; further engagement to identify causes for dissatisfaction at College and School level; tailored engagement activities through ULIIHE with the wider University.</w:t>
      </w:r>
    </w:p>
    <w:p w14:paraId="163182B2" w14:textId="45F964EC" w:rsidR="00937EEC" w:rsidRPr="003A2B0A" w:rsidRDefault="00937EEC" w:rsidP="003A2B0A">
      <w:pPr>
        <w:pStyle w:val="ListParagraph"/>
        <w:spacing w:after="0" w:line="240" w:lineRule="auto"/>
        <w:ind w:left="1224"/>
        <w:contextualSpacing w:val="0"/>
        <w:jc w:val="both"/>
        <w:rPr>
          <w:rFonts w:cstheme="minorHAnsi"/>
        </w:rPr>
      </w:pPr>
    </w:p>
    <w:p w14:paraId="5CDB71CE" w14:textId="0FA157F8" w:rsidR="00851B67" w:rsidRDefault="008D24A5" w:rsidP="00851B67">
      <w:pPr>
        <w:pStyle w:val="ListParagraph"/>
        <w:numPr>
          <w:ilvl w:val="3"/>
          <w:numId w:val="1"/>
        </w:numPr>
        <w:spacing w:after="0" w:line="240" w:lineRule="auto"/>
        <w:jc w:val="both"/>
        <w:rPr>
          <w:rFonts w:cstheme="minorHAnsi"/>
        </w:rPr>
      </w:pPr>
      <w:r>
        <w:rPr>
          <w:rFonts w:cstheme="minorHAnsi"/>
        </w:rPr>
        <w:t>Staff</w:t>
      </w:r>
      <w:r w:rsidR="00851B67">
        <w:rPr>
          <w:rFonts w:cstheme="minorHAnsi"/>
        </w:rPr>
        <w:t xml:space="preserve"> pipeline</w:t>
      </w:r>
    </w:p>
    <w:p w14:paraId="293422C3" w14:textId="77777777" w:rsidR="003A2B0A" w:rsidRDefault="003A2B0A" w:rsidP="003A2B0A">
      <w:pPr>
        <w:pStyle w:val="ListParagraph"/>
        <w:spacing w:after="0" w:line="240" w:lineRule="auto"/>
        <w:ind w:left="1728"/>
        <w:jc w:val="both"/>
        <w:rPr>
          <w:rFonts w:cstheme="minorHAnsi"/>
        </w:rPr>
      </w:pPr>
    </w:p>
    <w:p w14:paraId="3EDA4280" w14:textId="77777777" w:rsidR="008D24A5" w:rsidRPr="003A2B0A" w:rsidRDefault="008D24A5" w:rsidP="008D24A5">
      <w:pPr>
        <w:pStyle w:val="ListParagraph"/>
        <w:numPr>
          <w:ilvl w:val="2"/>
          <w:numId w:val="22"/>
        </w:numPr>
        <w:spacing w:after="0" w:line="240" w:lineRule="auto"/>
        <w:jc w:val="both"/>
        <w:rPr>
          <w:rFonts w:cstheme="minorHAnsi"/>
        </w:rPr>
      </w:pPr>
      <w:r w:rsidRPr="001C5784">
        <w:rPr>
          <w:rFonts w:cstheme="minorHAnsi"/>
          <w:b/>
        </w:rPr>
        <w:t>Disclosure rates and the representation</w:t>
      </w:r>
      <w:r>
        <w:rPr>
          <w:rFonts w:cstheme="minorHAnsi"/>
        </w:rPr>
        <w:t xml:space="preserve">: </w:t>
      </w:r>
      <w:r w:rsidRPr="002C7AA1">
        <w:rPr>
          <w:rFonts w:cstheme="minorHAnsi"/>
        </w:rPr>
        <w:t xml:space="preserve">Improve disclosure rates </w:t>
      </w:r>
      <w:r>
        <w:rPr>
          <w:rFonts w:cstheme="minorHAnsi"/>
        </w:rPr>
        <w:t xml:space="preserve">particularly </w:t>
      </w:r>
      <w:r w:rsidRPr="002C7AA1">
        <w:rPr>
          <w:rFonts w:cstheme="minorHAnsi"/>
        </w:rPr>
        <w:t>for leavers</w:t>
      </w:r>
      <w:r>
        <w:rPr>
          <w:rFonts w:cstheme="minorHAnsi"/>
        </w:rPr>
        <w:t>.</w:t>
      </w:r>
      <w:r w:rsidRPr="003A2B0A">
        <w:rPr>
          <w:rFonts w:cstheme="minorHAnsi"/>
        </w:rPr>
        <w:t xml:space="preserve"> </w:t>
      </w:r>
      <w:r>
        <w:rPr>
          <w:rFonts w:cstheme="minorHAnsi"/>
        </w:rPr>
        <w:t>C</w:t>
      </w:r>
      <w:r w:rsidRPr="003A2B0A">
        <w:rPr>
          <w:rFonts w:cstheme="minorHAnsi"/>
        </w:rPr>
        <w:t>ontinue to monitor and report annually outcomes and representations in relation to all sections of the RECM.</w:t>
      </w:r>
    </w:p>
    <w:p w14:paraId="6DEE18D7" w14:textId="4D431DD9" w:rsidR="008D24A5" w:rsidRPr="008D24A5" w:rsidRDefault="008D24A5" w:rsidP="008D24A5">
      <w:pPr>
        <w:pStyle w:val="ListParagraph"/>
        <w:numPr>
          <w:ilvl w:val="2"/>
          <w:numId w:val="22"/>
        </w:numPr>
        <w:spacing w:after="0" w:line="240" w:lineRule="auto"/>
        <w:jc w:val="both"/>
        <w:rPr>
          <w:rFonts w:cstheme="minorHAnsi"/>
        </w:rPr>
      </w:pPr>
      <w:r w:rsidRPr="00D10A09">
        <w:rPr>
          <w:b/>
        </w:rPr>
        <w:t>Recruitment:</w:t>
      </w:r>
      <w:r>
        <w:t xml:space="preserve"> </w:t>
      </w:r>
      <w:r w:rsidRPr="002C7AA1">
        <w:rPr>
          <w:rFonts w:cstheme="minorHAnsi"/>
        </w:rPr>
        <w:t>Develop processes</w:t>
      </w:r>
      <w:r>
        <w:rPr>
          <w:rFonts w:cstheme="minorHAnsi"/>
        </w:rPr>
        <w:t xml:space="preserve"> and initiatives to improve disclosure rates</w:t>
      </w:r>
      <w:r w:rsidRPr="002C7AA1">
        <w:rPr>
          <w:rFonts w:cstheme="minorHAnsi"/>
        </w:rPr>
        <w:t>.</w:t>
      </w:r>
      <w:r w:rsidRPr="00B844AD">
        <w:rPr>
          <w:rFonts w:cstheme="minorHAnsi"/>
        </w:rPr>
        <w:t xml:space="preserve"> </w:t>
      </w:r>
      <w:r w:rsidRPr="002C7AA1">
        <w:rPr>
          <w:rFonts w:cstheme="minorHAnsi"/>
        </w:rPr>
        <w:t>Implement and further develop positive action recruitment practices at College and University level across the recruitment cycle, particularly in relation to Black applicants.</w:t>
      </w:r>
    </w:p>
    <w:p w14:paraId="623BDE40" w14:textId="77777777" w:rsidR="008D24A5" w:rsidRPr="00B844AD" w:rsidRDefault="008D24A5" w:rsidP="008D24A5">
      <w:pPr>
        <w:pStyle w:val="ListParagraph"/>
        <w:numPr>
          <w:ilvl w:val="2"/>
          <w:numId w:val="22"/>
        </w:numPr>
        <w:spacing w:after="0" w:line="240" w:lineRule="auto"/>
        <w:jc w:val="both"/>
        <w:rPr>
          <w:rFonts w:cstheme="minorHAnsi"/>
        </w:rPr>
      </w:pPr>
      <w:r w:rsidRPr="00D10A09">
        <w:rPr>
          <w:rFonts w:cstheme="minorHAnsi"/>
          <w:b/>
        </w:rPr>
        <w:t>Career development:</w:t>
      </w:r>
      <w:r>
        <w:rPr>
          <w:rFonts w:cstheme="minorHAnsi"/>
          <w:b/>
        </w:rPr>
        <w:t xml:space="preserve"> </w:t>
      </w:r>
      <w:r w:rsidRPr="002C7AA1">
        <w:rPr>
          <w:rFonts w:cstheme="minorHAnsi"/>
        </w:rPr>
        <w:t>Implement a series of initiatives and actions to address the specific identified barriers for</w:t>
      </w:r>
      <w:r>
        <w:rPr>
          <w:rFonts w:cstheme="minorHAnsi"/>
        </w:rPr>
        <w:t xml:space="preserve"> minority ethnic staff. </w:t>
      </w:r>
      <w:r w:rsidRPr="00B844AD">
        <w:rPr>
          <w:rFonts w:cstheme="minorHAnsi"/>
        </w:rPr>
        <w:t>Develop our academic promotions processes</w:t>
      </w:r>
      <w:r>
        <w:rPr>
          <w:rFonts w:cstheme="minorHAnsi"/>
        </w:rPr>
        <w:t xml:space="preserve">, </w:t>
      </w:r>
      <w:r w:rsidRPr="00B844AD">
        <w:rPr>
          <w:rFonts w:cstheme="minorHAnsi"/>
        </w:rPr>
        <w:t xml:space="preserve">including </w:t>
      </w:r>
      <w:r>
        <w:rPr>
          <w:rFonts w:cstheme="minorHAnsi"/>
        </w:rPr>
        <w:t>support and interventions for panellists and applicants.</w:t>
      </w:r>
    </w:p>
    <w:p w14:paraId="77C649D5" w14:textId="6791E12C" w:rsidR="003A2B0A" w:rsidRPr="008D24A5" w:rsidRDefault="008D24A5" w:rsidP="008D24A5">
      <w:pPr>
        <w:pStyle w:val="ListParagraph"/>
        <w:numPr>
          <w:ilvl w:val="2"/>
          <w:numId w:val="20"/>
        </w:numPr>
        <w:spacing w:after="0" w:line="240" w:lineRule="auto"/>
        <w:jc w:val="both"/>
        <w:rPr>
          <w:rFonts w:cstheme="minorHAnsi"/>
        </w:rPr>
      </w:pPr>
      <w:r w:rsidRPr="003A2B0A">
        <w:rPr>
          <w:rFonts w:cstheme="minorHAnsi"/>
          <w:b/>
        </w:rPr>
        <w:t>University wide</w:t>
      </w:r>
      <w:r>
        <w:rPr>
          <w:rFonts w:cstheme="minorHAnsi"/>
          <w:b/>
        </w:rPr>
        <w:t xml:space="preserve"> (for students and staff)</w:t>
      </w:r>
      <w:r w:rsidRPr="003A2B0A">
        <w:rPr>
          <w:rFonts w:cstheme="minorHAnsi"/>
          <w:b/>
        </w:rPr>
        <w:t xml:space="preserve">: </w:t>
      </w:r>
      <w:r w:rsidRPr="003A2B0A">
        <w:rPr>
          <w:rFonts w:cstheme="minorHAnsi"/>
        </w:rPr>
        <w:t xml:space="preserve">To develop and implement the Together against Harassment campaign. </w:t>
      </w:r>
      <w:r w:rsidRPr="002C7AA1">
        <w:rPr>
          <w:rFonts w:cstheme="minorHAnsi"/>
        </w:rPr>
        <w:t>Enhance teaching, learning and assessment processes and practices to consider and address the identified barriers to developing</w:t>
      </w:r>
      <w:r>
        <w:rPr>
          <w:rFonts w:cstheme="minorHAnsi"/>
        </w:rPr>
        <w:t xml:space="preserve"> and delivering</w:t>
      </w:r>
      <w:r w:rsidRPr="002C7AA1">
        <w:rPr>
          <w:rFonts w:cstheme="minorHAnsi"/>
        </w:rPr>
        <w:t xml:space="preserve"> an inclusive curriculum and improved experiences for our students.</w:t>
      </w:r>
    </w:p>
    <w:p w14:paraId="37CBCB00" w14:textId="4538A5E8" w:rsidR="003A57D5" w:rsidRPr="00F52D24" w:rsidRDefault="003A57D5" w:rsidP="00F52D24">
      <w:pPr>
        <w:spacing w:after="0" w:line="240" w:lineRule="auto"/>
        <w:rPr>
          <w:rFonts w:cstheme="minorHAnsi"/>
        </w:rPr>
      </w:pPr>
    </w:p>
    <w:p w14:paraId="1D0F4AEA" w14:textId="3AE27874" w:rsidR="002F6F58" w:rsidRDefault="00972F47" w:rsidP="00EF169D">
      <w:pPr>
        <w:pStyle w:val="ListParagraph"/>
        <w:numPr>
          <w:ilvl w:val="0"/>
          <w:numId w:val="1"/>
        </w:numPr>
        <w:spacing w:after="0" w:line="240" w:lineRule="auto"/>
        <w:contextualSpacing w:val="0"/>
        <w:jc w:val="both"/>
        <w:rPr>
          <w:rFonts w:cstheme="minorHAnsi"/>
          <w:b/>
        </w:rPr>
      </w:pPr>
      <w:r>
        <w:rPr>
          <w:rFonts w:cstheme="minorHAnsi"/>
          <w:b/>
        </w:rPr>
        <w:t>Proposed approach</w:t>
      </w:r>
    </w:p>
    <w:p w14:paraId="1D33D70E" w14:textId="77777777" w:rsidR="00937EEC" w:rsidRDefault="00937EEC" w:rsidP="00937EEC">
      <w:pPr>
        <w:pStyle w:val="ListParagraph"/>
        <w:spacing w:after="0" w:line="240" w:lineRule="auto"/>
        <w:ind w:left="360"/>
        <w:contextualSpacing w:val="0"/>
        <w:jc w:val="both"/>
        <w:rPr>
          <w:rFonts w:cstheme="minorHAnsi"/>
          <w:b/>
        </w:rPr>
      </w:pPr>
    </w:p>
    <w:p w14:paraId="749053D3" w14:textId="66D7434E" w:rsidR="00EE27F2" w:rsidRPr="00FD1B93" w:rsidRDefault="00EE27F2" w:rsidP="00EE27F2">
      <w:pPr>
        <w:pStyle w:val="ListParagraph"/>
        <w:numPr>
          <w:ilvl w:val="1"/>
          <w:numId w:val="1"/>
        </w:numPr>
        <w:spacing w:after="0" w:line="240" w:lineRule="auto"/>
        <w:contextualSpacing w:val="0"/>
        <w:jc w:val="both"/>
        <w:rPr>
          <w:rFonts w:cstheme="minorHAnsi"/>
        </w:rPr>
      </w:pPr>
      <w:r w:rsidRPr="00FD1B93">
        <w:rPr>
          <w:rFonts w:cstheme="minorHAnsi"/>
        </w:rPr>
        <w:t xml:space="preserve">The University will continue to support progress of actions relating to the </w:t>
      </w:r>
      <w:r w:rsidR="00DB0E51">
        <w:rPr>
          <w:rFonts w:cstheme="minorHAnsi"/>
        </w:rPr>
        <w:t>RECM</w:t>
      </w:r>
      <w:r w:rsidRPr="00FD1B93">
        <w:rPr>
          <w:rFonts w:cstheme="minorHAnsi"/>
        </w:rPr>
        <w:t xml:space="preserve"> through the</w:t>
      </w:r>
      <w:r w:rsidR="00DF3C2F">
        <w:rPr>
          <w:rFonts w:cstheme="minorHAnsi"/>
        </w:rPr>
        <w:t xml:space="preserve"> Race Equality Action Group</w:t>
      </w:r>
      <w:r w:rsidRPr="00FD1B93">
        <w:rPr>
          <w:rFonts w:cstheme="minorHAnsi"/>
        </w:rPr>
        <w:t xml:space="preserve"> </w:t>
      </w:r>
      <w:r w:rsidR="00DF3C2F">
        <w:rPr>
          <w:rFonts w:cstheme="minorHAnsi"/>
        </w:rPr>
        <w:t>(</w:t>
      </w:r>
      <w:r w:rsidR="00DB0E51">
        <w:rPr>
          <w:rFonts w:cstheme="minorHAnsi"/>
        </w:rPr>
        <w:t>REAG</w:t>
      </w:r>
      <w:r w:rsidR="00DF3C2F">
        <w:rPr>
          <w:rFonts w:cstheme="minorHAnsi"/>
        </w:rPr>
        <w:t>)</w:t>
      </w:r>
      <w:r w:rsidRPr="00FD1B93">
        <w:rPr>
          <w:rFonts w:cstheme="minorHAnsi"/>
        </w:rPr>
        <w:t xml:space="preserve"> who are also identified as the University’s </w:t>
      </w:r>
      <w:r w:rsidR="000659B7" w:rsidRPr="00FD1B93">
        <w:rPr>
          <w:rFonts w:cstheme="minorHAnsi"/>
        </w:rPr>
        <w:t>Self-Assessment</w:t>
      </w:r>
      <w:r w:rsidRPr="00FD1B93">
        <w:rPr>
          <w:rFonts w:cstheme="minorHAnsi"/>
        </w:rPr>
        <w:t xml:space="preserve"> Team for the</w:t>
      </w:r>
      <w:r w:rsidR="00FD1B93" w:rsidRPr="00FD1B93">
        <w:rPr>
          <w:rFonts w:cstheme="minorHAnsi"/>
        </w:rPr>
        <w:t xml:space="preserve"> purposes of the</w:t>
      </w:r>
      <w:r w:rsidRPr="00FD1B93">
        <w:rPr>
          <w:rFonts w:cstheme="minorHAnsi"/>
        </w:rPr>
        <w:t xml:space="preserve"> </w:t>
      </w:r>
      <w:r w:rsidR="00DB0E51">
        <w:rPr>
          <w:rFonts w:cstheme="minorHAnsi"/>
        </w:rPr>
        <w:t>RECM</w:t>
      </w:r>
      <w:r w:rsidRPr="00FD1B93">
        <w:rPr>
          <w:rFonts w:cstheme="minorHAnsi"/>
        </w:rPr>
        <w:t>.</w:t>
      </w:r>
    </w:p>
    <w:p w14:paraId="1317ED03" w14:textId="11EF1066" w:rsidR="00EE27F2" w:rsidRPr="00FD1B93" w:rsidRDefault="00EE27F2" w:rsidP="00EE27F2">
      <w:pPr>
        <w:pStyle w:val="ListParagraph"/>
        <w:numPr>
          <w:ilvl w:val="1"/>
          <w:numId w:val="1"/>
        </w:numPr>
        <w:spacing w:after="0" w:line="240" w:lineRule="auto"/>
        <w:contextualSpacing w:val="0"/>
        <w:jc w:val="both"/>
        <w:rPr>
          <w:rFonts w:cstheme="minorHAnsi"/>
        </w:rPr>
      </w:pPr>
      <w:r w:rsidRPr="00FD1B93">
        <w:rPr>
          <w:rFonts w:cstheme="minorHAnsi"/>
        </w:rPr>
        <w:lastRenderedPageBreak/>
        <w:t xml:space="preserve">The </w:t>
      </w:r>
      <w:r w:rsidR="00DB0E51">
        <w:rPr>
          <w:rFonts w:cstheme="minorHAnsi"/>
        </w:rPr>
        <w:t>REAG</w:t>
      </w:r>
      <w:r w:rsidRPr="00FD1B93">
        <w:rPr>
          <w:rFonts w:cstheme="minorHAnsi"/>
        </w:rPr>
        <w:t xml:space="preserve"> meet termly and have specified within their objectives</w:t>
      </w:r>
      <w:r w:rsidR="00761D9F">
        <w:rPr>
          <w:rFonts w:cstheme="minorHAnsi"/>
        </w:rPr>
        <w:t>,</w:t>
      </w:r>
      <w:r w:rsidRPr="00FD1B93">
        <w:rPr>
          <w:rFonts w:cstheme="minorHAnsi"/>
        </w:rPr>
        <w:t xml:space="preserve"> a responsibility to maintain oversight and ensure progress in relation to</w:t>
      </w:r>
      <w:r w:rsidR="00FD1B93" w:rsidRPr="00FD1B93">
        <w:rPr>
          <w:rFonts w:cstheme="minorHAnsi"/>
        </w:rPr>
        <w:t xml:space="preserve"> the </w:t>
      </w:r>
      <w:r w:rsidR="00DB0E51">
        <w:rPr>
          <w:rFonts w:cstheme="minorHAnsi"/>
        </w:rPr>
        <w:t>RECM</w:t>
      </w:r>
      <w:r w:rsidR="004A6814">
        <w:rPr>
          <w:rFonts w:cstheme="minorHAnsi"/>
        </w:rPr>
        <w:t xml:space="preserve"> </w:t>
      </w:r>
      <w:r w:rsidR="00FD1B93" w:rsidRPr="00FD1B93">
        <w:rPr>
          <w:rFonts w:cstheme="minorHAnsi"/>
        </w:rPr>
        <w:t xml:space="preserve">and it will remain as a standard agenda item at every </w:t>
      </w:r>
      <w:r w:rsidR="00DB0E51">
        <w:rPr>
          <w:rFonts w:cstheme="minorHAnsi"/>
        </w:rPr>
        <w:t>REAG</w:t>
      </w:r>
      <w:r w:rsidR="00FD1B93" w:rsidRPr="00FD1B93">
        <w:rPr>
          <w:rFonts w:cstheme="minorHAnsi"/>
        </w:rPr>
        <w:t xml:space="preserve"> meeting.</w:t>
      </w:r>
    </w:p>
    <w:p w14:paraId="4C16744A" w14:textId="574E2FE1" w:rsidR="00EE27F2" w:rsidRPr="00FD1B93" w:rsidRDefault="00FD1B93" w:rsidP="00EE27F2">
      <w:pPr>
        <w:pStyle w:val="ListParagraph"/>
        <w:numPr>
          <w:ilvl w:val="1"/>
          <w:numId w:val="1"/>
        </w:numPr>
        <w:spacing w:after="0" w:line="240" w:lineRule="auto"/>
        <w:contextualSpacing w:val="0"/>
        <w:jc w:val="both"/>
        <w:rPr>
          <w:rFonts w:cstheme="minorHAnsi"/>
        </w:rPr>
      </w:pPr>
      <w:r w:rsidRPr="00FD1B93">
        <w:rPr>
          <w:rFonts w:cstheme="minorHAnsi"/>
        </w:rPr>
        <w:t xml:space="preserve">A comprehensive oversight, development of our submission and delivery of our action plan will be led by our </w:t>
      </w:r>
      <w:r w:rsidR="00EE27F2" w:rsidRPr="00FD1B93">
        <w:rPr>
          <w:rFonts w:cstheme="minorHAnsi"/>
        </w:rPr>
        <w:t>EDI Projects Manager (RECM Lead)</w:t>
      </w:r>
      <w:r w:rsidRPr="00FD1B93">
        <w:rPr>
          <w:rFonts w:cstheme="minorHAnsi"/>
        </w:rPr>
        <w:t xml:space="preserve"> who will work with the </w:t>
      </w:r>
      <w:r w:rsidR="00DB0E51">
        <w:rPr>
          <w:rFonts w:cstheme="minorHAnsi"/>
        </w:rPr>
        <w:t>REAG</w:t>
      </w:r>
      <w:r w:rsidRPr="00FD1B93">
        <w:rPr>
          <w:rFonts w:cstheme="minorHAnsi"/>
        </w:rPr>
        <w:t xml:space="preserve"> and </w:t>
      </w:r>
      <w:r w:rsidR="00EE27F2" w:rsidRPr="00FD1B93">
        <w:rPr>
          <w:rFonts w:cstheme="minorHAnsi"/>
        </w:rPr>
        <w:t xml:space="preserve">key stakeholders </w:t>
      </w:r>
      <w:r w:rsidR="000659B7">
        <w:rPr>
          <w:rFonts w:cstheme="minorHAnsi"/>
        </w:rPr>
        <w:t xml:space="preserve">(including the Head of EDI Charters) </w:t>
      </w:r>
      <w:r w:rsidR="00EE27F2" w:rsidRPr="00FD1B93">
        <w:rPr>
          <w:rFonts w:cstheme="minorHAnsi"/>
        </w:rPr>
        <w:t>to ensure progress and delivery of actions</w:t>
      </w:r>
      <w:r w:rsidRPr="00FD1B93">
        <w:rPr>
          <w:rFonts w:cstheme="minorHAnsi"/>
        </w:rPr>
        <w:t>.</w:t>
      </w:r>
    </w:p>
    <w:p w14:paraId="0F357025" w14:textId="4FF8037C" w:rsidR="00EE27F2" w:rsidRDefault="00EE27F2" w:rsidP="00EE27F2">
      <w:pPr>
        <w:pStyle w:val="ListParagraph"/>
        <w:numPr>
          <w:ilvl w:val="1"/>
          <w:numId w:val="1"/>
        </w:numPr>
        <w:spacing w:after="0" w:line="240" w:lineRule="auto"/>
        <w:contextualSpacing w:val="0"/>
        <w:jc w:val="both"/>
        <w:rPr>
          <w:rFonts w:cstheme="minorHAnsi"/>
        </w:rPr>
      </w:pPr>
      <w:r w:rsidRPr="00FD1B93">
        <w:rPr>
          <w:rFonts w:cstheme="minorHAnsi"/>
        </w:rPr>
        <w:t>The EDI Team will remain responsible for ensuring progress against actions and developing our submission and any related activ</w:t>
      </w:r>
      <w:r w:rsidR="00FD1B93" w:rsidRPr="00FD1B93">
        <w:rPr>
          <w:rFonts w:cstheme="minorHAnsi"/>
        </w:rPr>
        <w:t>ities to ensure we are in a stro</w:t>
      </w:r>
      <w:r w:rsidRPr="00FD1B93">
        <w:rPr>
          <w:rFonts w:cstheme="minorHAnsi"/>
        </w:rPr>
        <w:t>ng position to submit in 2027.</w:t>
      </w:r>
    </w:p>
    <w:p w14:paraId="362D40A1" w14:textId="18349B44" w:rsidR="00BE5B06" w:rsidRDefault="00FD1B93" w:rsidP="000659B7">
      <w:pPr>
        <w:pStyle w:val="ListParagraph"/>
        <w:numPr>
          <w:ilvl w:val="1"/>
          <w:numId w:val="1"/>
        </w:numPr>
        <w:spacing w:after="0" w:line="240" w:lineRule="auto"/>
        <w:contextualSpacing w:val="0"/>
        <w:jc w:val="both"/>
        <w:rPr>
          <w:rFonts w:cstheme="minorHAnsi"/>
        </w:rPr>
      </w:pPr>
      <w:r>
        <w:rPr>
          <w:rFonts w:cstheme="minorHAnsi"/>
        </w:rPr>
        <w:t xml:space="preserve">To ensure </w:t>
      </w:r>
      <w:r w:rsidR="000659B7">
        <w:rPr>
          <w:rFonts w:cstheme="minorHAnsi"/>
        </w:rPr>
        <w:t xml:space="preserve">progress in our commitment to eliminate </w:t>
      </w:r>
      <w:r>
        <w:rPr>
          <w:rFonts w:cstheme="minorHAnsi"/>
        </w:rPr>
        <w:t>racial inequ</w:t>
      </w:r>
      <w:r w:rsidR="00C21219">
        <w:rPr>
          <w:rFonts w:cstheme="minorHAnsi"/>
        </w:rPr>
        <w:t>ities</w:t>
      </w:r>
      <w:r w:rsidR="000659B7">
        <w:rPr>
          <w:rFonts w:cstheme="minorHAnsi"/>
        </w:rPr>
        <w:t>, t</w:t>
      </w:r>
      <w:r w:rsidRPr="000659B7">
        <w:rPr>
          <w:rFonts w:cstheme="minorHAnsi"/>
        </w:rPr>
        <w:t xml:space="preserve">he EDI Team will work with key stakeholders across the University to ensure a holistic and collaborative approach which considers the issues </w:t>
      </w:r>
      <w:r w:rsidR="000659B7">
        <w:rPr>
          <w:rFonts w:cstheme="minorHAnsi"/>
        </w:rPr>
        <w:t xml:space="preserve">that are specific and significant for our University. This may include actions which fall outside the framework of the </w:t>
      </w:r>
      <w:r w:rsidR="004A6814">
        <w:rPr>
          <w:rFonts w:cstheme="minorHAnsi"/>
        </w:rPr>
        <w:t>RECM</w:t>
      </w:r>
      <w:r w:rsidR="000659B7">
        <w:rPr>
          <w:rFonts w:cstheme="minorHAnsi"/>
        </w:rPr>
        <w:t xml:space="preserve"> and which are necessary to ensure real and sustainable change and progress is made for our community.</w:t>
      </w:r>
    </w:p>
    <w:p w14:paraId="5D409A3B" w14:textId="7592317A" w:rsidR="00D05A0F" w:rsidRPr="00FD1B93" w:rsidRDefault="00D05A0F" w:rsidP="00D05A0F">
      <w:pPr>
        <w:pStyle w:val="ListParagraph"/>
        <w:numPr>
          <w:ilvl w:val="1"/>
          <w:numId w:val="1"/>
        </w:numPr>
        <w:spacing w:after="0" w:line="240" w:lineRule="auto"/>
        <w:rPr>
          <w:rFonts w:cstheme="minorHAnsi"/>
        </w:rPr>
      </w:pPr>
      <w:r>
        <w:rPr>
          <w:rFonts w:cstheme="minorHAnsi"/>
        </w:rPr>
        <w:t>With the support of the Head of Charters, the EDI Projects Manager will be developing and capturing information and evidence regarding our submission. This includes an annual data refresh for all sections of the submission and integrating new and relevant content for sections of the submission.</w:t>
      </w:r>
    </w:p>
    <w:p w14:paraId="594D24E9" w14:textId="77777777" w:rsidR="00D8595B" w:rsidRDefault="00D8595B" w:rsidP="00A41F69">
      <w:pPr>
        <w:spacing w:after="0" w:line="240" w:lineRule="auto"/>
      </w:pPr>
    </w:p>
    <w:p w14:paraId="33A30ED8" w14:textId="11E854C1" w:rsidR="00294A02" w:rsidRDefault="00E56208" w:rsidP="00A41F69">
      <w:pPr>
        <w:spacing w:after="0" w:line="240" w:lineRule="auto"/>
      </w:pPr>
      <w:r>
        <w:t>Humaa Noori</w:t>
      </w:r>
      <w:r w:rsidR="00761D9F">
        <w:t xml:space="preserve">, EDI Projects Manager and </w:t>
      </w:r>
      <w:r w:rsidR="001240AC">
        <w:t>EDI Team Race Equity Le</w:t>
      </w:r>
      <w:r w:rsidR="00761D9F">
        <w:t>ad</w:t>
      </w:r>
    </w:p>
    <w:p w14:paraId="43611ABA" w14:textId="56991B3E" w:rsidR="00212E04" w:rsidRDefault="00C21219" w:rsidP="00A41F69">
      <w:pPr>
        <w:spacing w:after="0" w:line="240" w:lineRule="auto"/>
      </w:pPr>
      <w:r>
        <w:t>April 2023</w:t>
      </w:r>
    </w:p>
    <w:sectPr w:rsidR="00212E04" w:rsidSect="00D859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0037" w14:textId="77777777" w:rsidR="004F105B" w:rsidRDefault="004F105B" w:rsidP="00011392">
      <w:pPr>
        <w:spacing w:after="0" w:line="240" w:lineRule="auto"/>
      </w:pPr>
      <w:r>
        <w:separator/>
      </w:r>
    </w:p>
  </w:endnote>
  <w:endnote w:type="continuationSeparator" w:id="0">
    <w:p w14:paraId="43C4381A" w14:textId="77777777" w:rsidR="004F105B" w:rsidRDefault="004F105B" w:rsidP="0001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67430"/>
      <w:docPartObj>
        <w:docPartGallery w:val="Page Numbers (Bottom of Page)"/>
        <w:docPartUnique/>
      </w:docPartObj>
    </w:sdtPr>
    <w:sdtEndPr>
      <w:rPr>
        <w:noProof/>
      </w:rPr>
    </w:sdtEndPr>
    <w:sdtContent>
      <w:p w14:paraId="47C559BE" w14:textId="03122EDD" w:rsidR="00761D9F" w:rsidRDefault="00761D9F">
        <w:pPr>
          <w:pStyle w:val="Footer"/>
          <w:jc w:val="right"/>
        </w:pPr>
        <w:r>
          <w:fldChar w:fldCharType="begin"/>
        </w:r>
        <w:r>
          <w:instrText xml:space="preserve"> PAGE   \* MERGEFORMAT </w:instrText>
        </w:r>
        <w:r>
          <w:fldChar w:fldCharType="separate"/>
        </w:r>
        <w:r w:rsidR="00A25EFF">
          <w:rPr>
            <w:noProof/>
          </w:rPr>
          <w:t>4</w:t>
        </w:r>
        <w:r>
          <w:rPr>
            <w:noProof/>
          </w:rPr>
          <w:fldChar w:fldCharType="end"/>
        </w:r>
      </w:p>
    </w:sdtContent>
  </w:sdt>
  <w:p w14:paraId="65FAA83F" w14:textId="77777777" w:rsidR="00767B6F" w:rsidRDefault="00767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7BA2" w14:textId="77777777" w:rsidR="004F105B" w:rsidRDefault="004F105B" w:rsidP="00011392">
      <w:pPr>
        <w:spacing w:after="0" w:line="240" w:lineRule="auto"/>
      </w:pPr>
      <w:r>
        <w:separator/>
      </w:r>
    </w:p>
  </w:footnote>
  <w:footnote w:type="continuationSeparator" w:id="0">
    <w:p w14:paraId="283A965B" w14:textId="77777777" w:rsidR="004F105B" w:rsidRDefault="004F105B" w:rsidP="00011392">
      <w:pPr>
        <w:spacing w:after="0" w:line="240" w:lineRule="auto"/>
      </w:pPr>
      <w:r>
        <w:continuationSeparator/>
      </w:r>
    </w:p>
  </w:footnote>
  <w:footnote w:id="1">
    <w:p w14:paraId="068C4AF4" w14:textId="73661EF1" w:rsidR="00B57A9E" w:rsidRDefault="00B57A9E">
      <w:pPr>
        <w:pStyle w:val="FootnoteText"/>
      </w:pPr>
      <w:r>
        <w:rPr>
          <w:rStyle w:val="FootnoteReference"/>
        </w:rPr>
        <w:footnoteRef/>
      </w:r>
      <w:r>
        <w:t xml:space="preserve"> A Catalyst for Change: Recognising and Responding to Students’ Experiences of Harassment (Centre for Hate Studies 2020), and, Tackling Racial Harassment in Higher Education (UUK,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BE1"/>
    <w:multiLevelType w:val="hybridMultilevel"/>
    <w:tmpl w:val="3F5C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D7F54"/>
    <w:multiLevelType w:val="hybridMultilevel"/>
    <w:tmpl w:val="012C2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159B3"/>
    <w:multiLevelType w:val="multilevel"/>
    <w:tmpl w:val="810A0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D5BA3"/>
    <w:multiLevelType w:val="multilevel"/>
    <w:tmpl w:val="810A0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504DA4"/>
    <w:multiLevelType w:val="hybridMultilevel"/>
    <w:tmpl w:val="8C4CA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D49AA"/>
    <w:multiLevelType w:val="hybridMultilevel"/>
    <w:tmpl w:val="78086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416BA"/>
    <w:multiLevelType w:val="multilevel"/>
    <w:tmpl w:val="810A0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6D1286"/>
    <w:multiLevelType w:val="multilevel"/>
    <w:tmpl w:val="EE7EE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631904"/>
    <w:multiLevelType w:val="hybridMultilevel"/>
    <w:tmpl w:val="DA8607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35D162D3"/>
    <w:multiLevelType w:val="multilevel"/>
    <w:tmpl w:val="01F69D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4246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D00E59"/>
    <w:multiLevelType w:val="multilevel"/>
    <w:tmpl w:val="810A0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A45A98"/>
    <w:multiLevelType w:val="multilevel"/>
    <w:tmpl w:val="810A0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79365B"/>
    <w:multiLevelType w:val="multilevel"/>
    <w:tmpl w:val="810A0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EE6D09"/>
    <w:multiLevelType w:val="multilevel"/>
    <w:tmpl w:val="810A0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0D34C3"/>
    <w:multiLevelType w:val="multilevel"/>
    <w:tmpl w:val="810A0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4D187B"/>
    <w:multiLevelType w:val="hybridMultilevel"/>
    <w:tmpl w:val="C6B2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250A9"/>
    <w:multiLevelType w:val="hybridMultilevel"/>
    <w:tmpl w:val="3CEEC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C7923"/>
    <w:multiLevelType w:val="multilevel"/>
    <w:tmpl w:val="EE7EE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5F63ED"/>
    <w:multiLevelType w:val="hybridMultilevel"/>
    <w:tmpl w:val="ACCE09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9A270EA"/>
    <w:multiLevelType w:val="multilevel"/>
    <w:tmpl w:val="01F69D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C242D6"/>
    <w:multiLevelType w:val="hybridMultilevel"/>
    <w:tmpl w:val="A9583EC0"/>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670E6132"/>
    <w:multiLevelType w:val="hybridMultilevel"/>
    <w:tmpl w:val="0FDE2C9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3" w15:restartNumberingAfterBreak="0">
    <w:nsid w:val="70537A14"/>
    <w:multiLevelType w:val="hybridMultilevel"/>
    <w:tmpl w:val="506CBC26"/>
    <w:lvl w:ilvl="0" w:tplc="FF50678C">
      <w:start w:val="1"/>
      <w:numFmt w:val="bullet"/>
      <w:lvlText w:val="-"/>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769490A"/>
    <w:multiLevelType w:val="multilevel"/>
    <w:tmpl w:val="01F69D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3"/>
  </w:num>
  <w:num w:numId="3">
    <w:abstractNumId w:val="19"/>
  </w:num>
  <w:num w:numId="4">
    <w:abstractNumId w:val="22"/>
  </w:num>
  <w:num w:numId="5">
    <w:abstractNumId w:val="10"/>
  </w:num>
  <w:num w:numId="6">
    <w:abstractNumId w:val="0"/>
  </w:num>
  <w:num w:numId="7">
    <w:abstractNumId w:val="8"/>
  </w:num>
  <w:num w:numId="8">
    <w:abstractNumId w:val="4"/>
  </w:num>
  <w:num w:numId="9">
    <w:abstractNumId w:val="16"/>
  </w:num>
  <w:num w:numId="10">
    <w:abstractNumId w:val="18"/>
  </w:num>
  <w:num w:numId="11">
    <w:abstractNumId w:val="1"/>
  </w:num>
  <w:num w:numId="12">
    <w:abstractNumId w:val="21"/>
  </w:num>
  <w:num w:numId="13">
    <w:abstractNumId w:val="14"/>
  </w:num>
  <w:num w:numId="14">
    <w:abstractNumId w:val="13"/>
  </w:num>
  <w:num w:numId="15">
    <w:abstractNumId w:val="11"/>
  </w:num>
  <w:num w:numId="16">
    <w:abstractNumId w:val="3"/>
  </w:num>
  <w:num w:numId="17">
    <w:abstractNumId w:val="12"/>
  </w:num>
  <w:num w:numId="18">
    <w:abstractNumId w:val="15"/>
  </w:num>
  <w:num w:numId="19">
    <w:abstractNumId w:val="2"/>
  </w:num>
  <w:num w:numId="20">
    <w:abstractNumId w:val="24"/>
  </w:num>
  <w:num w:numId="21">
    <w:abstractNumId w:val="6"/>
  </w:num>
  <w:num w:numId="22">
    <w:abstractNumId w:val="9"/>
  </w:num>
  <w:num w:numId="23">
    <w:abstractNumId w:val="20"/>
  </w:num>
  <w:num w:numId="24">
    <w:abstractNumId w:val="5"/>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84"/>
    <w:rsid w:val="0000143A"/>
    <w:rsid w:val="00011392"/>
    <w:rsid w:val="00012D36"/>
    <w:rsid w:val="000153B0"/>
    <w:rsid w:val="000154F5"/>
    <w:rsid w:val="0003474B"/>
    <w:rsid w:val="00045810"/>
    <w:rsid w:val="00045FAF"/>
    <w:rsid w:val="00063096"/>
    <w:rsid w:val="000659B7"/>
    <w:rsid w:val="00065FE5"/>
    <w:rsid w:val="00067178"/>
    <w:rsid w:val="000735A7"/>
    <w:rsid w:val="00097395"/>
    <w:rsid w:val="000A0FBB"/>
    <w:rsid w:val="000B23F8"/>
    <w:rsid w:val="000C1164"/>
    <w:rsid w:val="000C2D33"/>
    <w:rsid w:val="000C4FEB"/>
    <w:rsid w:val="000D278E"/>
    <w:rsid w:val="000D44C5"/>
    <w:rsid w:val="000E34F7"/>
    <w:rsid w:val="000E5BBD"/>
    <w:rsid w:val="00105634"/>
    <w:rsid w:val="00107ADE"/>
    <w:rsid w:val="001138F0"/>
    <w:rsid w:val="00113F0A"/>
    <w:rsid w:val="001240AC"/>
    <w:rsid w:val="00137CA8"/>
    <w:rsid w:val="00144CD9"/>
    <w:rsid w:val="001469BF"/>
    <w:rsid w:val="00152FC0"/>
    <w:rsid w:val="00162CCD"/>
    <w:rsid w:val="0017163D"/>
    <w:rsid w:val="0017224D"/>
    <w:rsid w:val="00174DD7"/>
    <w:rsid w:val="00175C9B"/>
    <w:rsid w:val="00185698"/>
    <w:rsid w:val="00185E92"/>
    <w:rsid w:val="001917B9"/>
    <w:rsid w:val="00193476"/>
    <w:rsid w:val="00193AC5"/>
    <w:rsid w:val="001A12C0"/>
    <w:rsid w:val="001B3B0F"/>
    <w:rsid w:val="001B6DDF"/>
    <w:rsid w:val="001C5784"/>
    <w:rsid w:val="001F20DB"/>
    <w:rsid w:val="001F2294"/>
    <w:rsid w:val="0020456F"/>
    <w:rsid w:val="00212E04"/>
    <w:rsid w:val="00215B84"/>
    <w:rsid w:val="00215F3A"/>
    <w:rsid w:val="00231232"/>
    <w:rsid w:val="00237B73"/>
    <w:rsid w:val="002464B2"/>
    <w:rsid w:val="00251BDA"/>
    <w:rsid w:val="002520CB"/>
    <w:rsid w:val="00256F2C"/>
    <w:rsid w:val="00261CE2"/>
    <w:rsid w:val="00294A02"/>
    <w:rsid w:val="00296FFE"/>
    <w:rsid w:val="002A71C7"/>
    <w:rsid w:val="002A792D"/>
    <w:rsid w:val="002B0863"/>
    <w:rsid w:val="002B6A5C"/>
    <w:rsid w:val="002C7AA1"/>
    <w:rsid w:val="002D3A6A"/>
    <w:rsid w:val="002D3F53"/>
    <w:rsid w:val="002F4148"/>
    <w:rsid w:val="002F4714"/>
    <w:rsid w:val="002F6F58"/>
    <w:rsid w:val="002F71F8"/>
    <w:rsid w:val="00310219"/>
    <w:rsid w:val="003102A1"/>
    <w:rsid w:val="0031124E"/>
    <w:rsid w:val="00323125"/>
    <w:rsid w:val="00323C67"/>
    <w:rsid w:val="00327283"/>
    <w:rsid w:val="00332A39"/>
    <w:rsid w:val="0033424C"/>
    <w:rsid w:val="003360DF"/>
    <w:rsid w:val="00342072"/>
    <w:rsid w:val="003565F8"/>
    <w:rsid w:val="00357EBE"/>
    <w:rsid w:val="00363745"/>
    <w:rsid w:val="00367185"/>
    <w:rsid w:val="00377142"/>
    <w:rsid w:val="003A2B0A"/>
    <w:rsid w:val="003A57D5"/>
    <w:rsid w:val="003B2981"/>
    <w:rsid w:val="003B5748"/>
    <w:rsid w:val="003B5988"/>
    <w:rsid w:val="003C5111"/>
    <w:rsid w:val="003C5E04"/>
    <w:rsid w:val="003D5138"/>
    <w:rsid w:val="003D5326"/>
    <w:rsid w:val="003D5639"/>
    <w:rsid w:val="003D6C6C"/>
    <w:rsid w:val="003E18F4"/>
    <w:rsid w:val="003F0A78"/>
    <w:rsid w:val="003F17B0"/>
    <w:rsid w:val="003F1A84"/>
    <w:rsid w:val="003F29C2"/>
    <w:rsid w:val="0040056B"/>
    <w:rsid w:val="0040735E"/>
    <w:rsid w:val="00412514"/>
    <w:rsid w:val="00431A23"/>
    <w:rsid w:val="00433373"/>
    <w:rsid w:val="00442A79"/>
    <w:rsid w:val="0045482C"/>
    <w:rsid w:val="00454B2C"/>
    <w:rsid w:val="00463E65"/>
    <w:rsid w:val="0046417F"/>
    <w:rsid w:val="00470971"/>
    <w:rsid w:val="004739DB"/>
    <w:rsid w:val="0047576C"/>
    <w:rsid w:val="00477A5E"/>
    <w:rsid w:val="00483871"/>
    <w:rsid w:val="004951F3"/>
    <w:rsid w:val="004A1540"/>
    <w:rsid w:val="004A213F"/>
    <w:rsid w:val="004A6814"/>
    <w:rsid w:val="004C19B9"/>
    <w:rsid w:val="004C5837"/>
    <w:rsid w:val="004D5D3A"/>
    <w:rsid w:val="004E50AD"/>
    <w:rsid w:val="004E588A"/>
    <w:rsid w:val="004F105B"/>
    <w:rsid w:val="004F7E39"/>
    <w:rsid w:val="00510F65"/>
    <w:rsid w:val="00516407"/>
    <w:rsid w:val="0052765A"/>
    <w:rsid w:val="005276DD"/>
    <w:rsid w:val="0053716D"/>
    <w:rsid w:val="00547472"/>
    <w:rsid w:val="005517DD"/>
    <w:rsid w:val="005551A2"/>
    <w:rsid w:val="00563F6D"/>
    <w:rsid w:val="00582B39"/>
    <w:rsid w:val="00592774"/>
    <w:rsid w:val="00595A91"/>
    <w:rsid w:val="0059688D"/>
    <w:rsid w:val="005A10ED"/>
    <w:rsid w:val="005B2044"/>
    <w:rsid w:val="005B4CDD"/>
    <w:rsid w:val="005C727F"/>
    <w:rsid w:val="005F00F8"/>
    <w:rsid w:val="005F0A7F"/>
    <w:rsid w:val="006010BC"/>
    <w:rsid w:val="00604355"/>
    <w:rsid w:val="006225A8"/>
    <w:rsid w:val="00625B73"/>
    <w:rsid w:val="00632362"/>
    <w:rsid w:val="0064066D"/>
    <w:rsid w:val="00651FB5"/>
    <w:rsid w:val="00670C0F"/>
    <w:rsid w:val="00673FFE"/>
    <w:rsid w:val="00675C49"/>
    <w:rsid w:val="006953BD"/>
    <w:rsid w:val="006A0980"/>
    <w:rsid w:val="006A1215"/>
    <w:rsid w:val="006A1C9E"/>
    <w:rsid w:val="006A4186"/>
    <w:rsid w:val="006B0F45"/>
    <w:rsid w:val="006B6AA1"/>
    <w:rsid w:val="006D3429"/>
    <w:rsid w:val="006D4018"/>
    <w:rsid w:val="006D41E4"/>
    <w:rsid w:val="006D574F"/>
    <w:rsid w:val="006D7505"/>
    <w:rsid w:val="006E0A99"/>
    <w:rsid w:val="006E2E84"/>
    <w:rsid w:val="006E2E95"/>
    <w:rsid w:val="006E68D0"/>
    <w:rsid w:val="006F3531"/>
    <w:rsid w:val="006F59BC"/>
    <w:rsid w:val="00706BD8"/>
    <w:rsid w:val="0071351E"/>
    <w:rsid w:val="0074276B"/>
    <w:rsid w:val="0074353E"/>
    <w:rsid w:val="007435B8"/>
    <w:rsid w:val="007453B2"/>
    <w:rsid w:val="007516C0"/>
    <w:rsid w:val="00756F79"/>
    <w:rsid w:val="00761D9F"/>
    <w:rsid w:val="00767B6F"/>
    <w:rsid w:val="00777CE8"/>
    <w:rsid w:val="00780937"/>
    <w:rsid w:val="00787C24"/>
    <w:rsid w:val="007A3605"/>
    <w:rsid w:val="007A718A"/>
    <w:rsid w:val="007C0212"/>
    <w:rsid w:val="007C099D"/>
    <w:rsid w:val="007C4DBD"/>
    <w:rsid w:val="007C570A"/>
    <w:rsid w:val="007D2150"/>
    <w:rsid w:val="007D5709"/>
    <w:rsid w:val="007E454B"/>
    <w:rsid w:val="007F0E38"/>
    <w:rsid w:val="007F1EB5"/>
    <w:rsid w:val="007F1F2F"/>
    <w:rsid w:val="007F3C28"/>
    <w:rsid w:val="00803708"/>
    <w:rsid w:val="00810FA5"/>
    <w:rsid w:val="00816293"/>
    <w:rsid w:val="00826DBF"/>
    <w:rsid w:val="00827E75"/>
    <w:rsid w:val="00841C84"/>
    <w:rsid w:val="00845098"/>
    <w:rsid w:val="0084644B"/>
    <w:rsid w:val="00851B67"/>
    <w:rsid w:val="00852B61"/>
    <w:rsid w:val="00855A9B"/>
    <w:rsid w:val="008605AC"/>
    <w:rsid w:val="008607E9"/>
    <w:rsid w:val="00881BA5"/>
    <w:rsid w:val="00881E4C"/>
    <w:rsid w:val="008937A9"/>
    <w:rsid w:val="008942DF"/>
    <w:rsid w:val="008A6590"/>
    <w:rsid w:val="008B78BD"/>
    <w:rsid w:val="008C41C5"/>
    <w:rsid w:val="008D24A5"/>
    <w:rsid w:val="008D43D9"/>
    <w:rsid w:val="008F66E2"/>
    <w:rsid w:val="008F6E67"/>
    <w:rsid w:val="009025AE"/>
    <w:rsid w:val="00907800"/>
    <w:rsid w:val="00914834"/>
    <w:rsid w:val="00914F62"/>
    <w:rsid w:val="00920E15"/>
    <w:rsid w:val="00921F11"/>
    <w:rsid w:val="00922512"/>
    <w:rsid w:val="00924D7A"/>
    <w:rsid w:val="00932C8A"/>
    <w:rsid w:val="00937EEC"/>
    <w:rsid w:val="00944B3D"/>
    <w:rsid w:val="00972F47"/>
    <w:rsid w:val="00985218"/>
    <w:rsid w:val="00997151"/>
    <w:rsid w:val="009A0F95"/>
    <w:rsid w:val="009A17BE"/>
    <w:rsid w:val="009B2D17"/>
    <w:rsid w:val="009D314A"/>
    <w:rsid w:val="009F53BF"/>
    <w:rsid w:val="00A1261C"/>
    <w:rsid w:val="00A25EFF"/>
    <w:rsid w:val="00A402CA"/>
    <w:rsid w:val="00A41F69"/>
    <w:rsid w:val="00A42532"/>
    <w:rsid w:val="00A42C83"/>
    <w:rsid w:val="00A53191"/>
    <w:rsid w:val="00A635BF"/>
    <w:rsid w:val="00A713C0"/>
    <w:rsid w:val="00A74F7B"/>
    <w:rsid w:val="00A97262"/>
    <w:rsid w:val="00AA1E28"/>
    <w:rsid w:val="00AA2E30"/>
    <w:rsid w:val="00AC3172"/>
    <w:rsid w:val="00AC69ED"/>
    <w:rsid w:val="00AC6C56"/>
    <w:rsid w:val="00AF2132"/>
    <w:rsid w:val="00B05885"/>
    <w:rsid w:val="00B10E68"/>
    <w:rsid w:val="00B16654"/>
    <w:rsid w:val="00B166D5"/>
    <w:rsid w:val="00B20BA5"/>
    <w:rsid w:val="00B22805"/>
    <w:rsid w:val="00B366DC"/>
    <w:rsid w:val="00B47D17"/>
    <w:rsid w:val="00B57A9E"/>
    <w:rsid w:val="00B638EC"/>
    <w:rsid w:val="00B64BE5"/>
    <w:rsid w:val="00B6537B"/>
    <w:rsid w:val="00B669B9"/>
    <w:rsid w:val="00B748A1"/>
    <w:rsid w:val="00B763D8"/>
    <w:rsid w:val="00B80FE2"/>
    <w:rsid w:val="00B82C7D"/>
    <w:rsid w:val="00B844AD"/>
    <w:rsid w:val="00B9591A"/>
    <w:rsid w:val="00BC276A"/>
    <w:rsid w:val="00BC5035"/>
    <w:rsid w:val="00BD60CF"/>
    <w:rsid w:val="00BD79EF"/>
    <w:rsid w:val="00BE5B06"/>
    <w:rsid w:val="00BF64D8"/>
    <w:rsid w:val="00C02F82"/>
    <w:rsid w:val="00C06736"/>
    <w:rsid w:val="00C07DE2"/>
    <w:rsid w:val="00C136B9"/>
    <w:rsid w:val="00C21219"/>
    <w:rsid w:val="00C245F9"/>
    <w:rsid w:val="00C310B8"/>
    <w:rsid w:val="00C317A2"/>
    <w:rsid w:val="00C347DD"/>
    <w:rsid w:val="00C34D5F"/>
    <w:rsid w:val="00C55B5D"/>
    <w:rsid w:val="00C67347"/>
    <w:rsid w:val="00C86640"/>
    <w:rsid w:val="00C975CD"/>
    <w:rsid w:val="00C97C4D"/>
    <w:rsid w:val="00CA1427"/>
    <w:rsid w:val="00CA154E"/>
    <w:rsid w:val="00CA6DC2"/>
    <w:rsid w:val="00CB64D0"/>
    <w:rsid w:val="00CE5120"/>
    <w:rsid w:val="00CE7259"/>
    <w:rsid w:val="00D05A0F"/>
    <w:rsid w:val="00D10177"/>
    <w:rsid w:val="00D10A09"/>
    <w:rsid w:val="00D11706"/>
    <w:rsid w:val="00D11EC7"/>
    <w:rsid w:val="00D339BE"/>
    <w:rsid w:val="00D37E13"/>
    <w:rsid w:val="00D44553"/>
    <w:rsid w:val="00D47413"/>
    <w:rsid w:val="00D52E16"/>
    <w:rsid w:val="00D550C1"/>
    <w:rsid w:val="00D67DF3"/>
    <w:rsid w:val="00D74B64"/>
    <w:rsid w:val="00D8595B"/>
    <w:rsid w:val="00D86C5E"/>
    <w:rsid w:val="00D86FB6"/>
    <w:rsid w:val="00D92A16"/>
    <w:rsid w:val="00D95238"/>
    <w:rsid w:val="00D96251"/>
    <w:rsid w:val="00DA69EC"/>
    <w:rsid w:val="00DB0E51"/>
    <w:rsid w:val="00DB67E5"/>
    <w:rsid w:val="00DB79BF"/>
    <w:rsid w:val="00DC4B97"/>
    <w:rsid w:val="00DC52C2"/>
    <w:rsid w:val="00DD1A81"/>
    <w:rsid w:val="00DD25A6"/>
    <w:rsid w:val="00DD2782"/>
    <w:rsid w:val="00DE03EB"/>
    <w:rsid w:val="00DE5676"/>
    <w:rsid w:val="00DF3C2F"/>
    <w:rsid w:val="00DF6D5E"/>
    <w:rsid w:val="00E03596"/>
    <w:rsid w:val="00E12307"/>
    <w:rsid w:val="00E24833"/>
    <w:rsid w:val="00E278D2"/>
    <w:rsid w:val="00E37FDA"/>
    <w:rsid w:val="00E41DDA"/>
    <w:rsid w:val="00E469D3"/>
    <w:rsid w:val="00E56208"/>
    <w:rsid w:val="00E7039C"/>
    <w:rsid w:val="00E75CE4"/>
    <w:rsid w:val="00E823EC"/>
    <w:rsid w:val="00EB1490"/>
    <w:rsid w:val="00EB7EFB"/>
    <w:rsid w:val="00EC0DED"/>
    <w:rsid w:val="00EC1DA8"/>
    <w:rsid w:val="00EC3110"/>
    <w:rsid w:val="00ED67BB"/>
    <w:rsid w:val="00EE2582"/>
    <w:rsid w:val="00EE27F2"/>
    <w:rsid w:val="00EE4B4B"/>
    <w:rsid w:val="00EF169D"/>
    <w:rsid w:val="00EF1C43"/>
    <w:rsid w:val="00F10B58"/>
    <w:rsid w:val="00F14FF3"/>
    <w:rsid w:val="00F16078"/>
    <w:rsid w:val="00F31413"/>
    <w:rsid w:val="00F32D12"/>
    <w:rsid w:val="00F34B61"/>
    <w:rsid w:val="00F52D24"/>
    <w:rsid w:val="00F63D82"/>
    <w:rsid w:val="00F70717"/>
    <w:rsid w:val="00F840C2"/>
    <w:rsid w:val="00F87827"/>
    <w:rsid w:val="00FA482A"/>
    <w:rsid w:val="00FA5F79"/>
    <w:rsid w:val="00FB1833"/>
    <w:rsid w:val="00FB1F4F"/>
    <w:rsid w:val="00FB579D"/>
    <w:rsid w:val="00FD1B93"/>
    <w:rsid w:val="00FD2B4D"/>
    <w:rsid w:val="00FD72AE"/>
    <w:rsid w:val="00FE6EFB"/>
    <w:rsid w:val="00FF024F"/>
    <w:rsid w:val="00FF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7B156B"/>
  <w15:chartTrackingRefBased/>
  <w15:docId w15:val="{A2B9D37F-C033-47D6-9A3D-E18D6E8A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88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C51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D1A81"/>
    <w:pPr>
      <w:keepNext/>
      <w:spacing w:after="0" w:line="240" w:lineRule="auto"/>
      <w:ind w:left="36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5B84"/>
    <w:pPr>
      <w:ind w:left="720"/>
      <w:contextualSpacing/>
    </w:pPr>
  </w:style>
  <w:style w:type="paragraph" w:styleId="Title">
    <w:name w:val="Title"/>
    <w:basedOn w:val="Normal"/>
    <w:next w:val="Normal"/>
    <w:link w:val="TitleChar"/>
    <w:uiPriority w:val="10"/>
    <w:qFormat/>
    <w:rsid w:val="00215B84"/>
    <w:pPr>
      <w:spacing w:after="200" w:line="240" w:lineRule="auto"/>
      <w:contextualSpacing/>
    </w:pPr>
    <w:rPr>
      <w:rFonts w:ascii="Arial" w:eastAsiaTheme="majorEastAsia" w:hAnsi="Arial" w:cs="Arial"/>
      <w:b/>
      <w:spacing w:val="-10"/>
      <w:kern w:val="28"/>
      <w:sz w:val="56"/>
      <w:szCs w:val="56"/>
    </w:rPr>
  </w:style>
  <w:style w:type="character" w:customStyle="1" w:styleId="TitleChar">
    <w:name w:val="Title Char"/>
    <w:basedOn w:val="DefaultParagraphFont"/>
    <w:link w:val="Title"/>
    <w:uiPriority w:val="10"/>
    <w:rsid w:val="00215B84"/>
    <w:rPr>
      <w:rFonts w:ascii="Arial" w:eastAsiaTheme="majorEastAsia" w:hAnsi="Arial" w:cs="Arial"/>
      <w:b/>
      <w:spacing w:val="-10"/>
      <w:kern w:val="28"/>
      <w:sz w:val="56"/>
      <w:szCs w:val="56"/>
    </w:rPr>
  </w:style>
  <w:style w:type="character" w:styleId="Hyperlink">
    <w:name w:val="Hyperlink"/>
    <w:basedOn w:val="DefaultParagraphFont"/>
    <w:uiPriority w:val="99"/>
    <w:unhideWhenUsed/>
    <w:rsid w:val="00FB1833"/>
    <w:rPr>
      <w:color w:val="0563C1" w:themeColor="hyperlink"/>
      <w:u w:val="single"/>
    </w:rPr>
  </w:style>
  <w:style w:type="paragraph" w:styleId="Header">
    <w:name w:val="header"/>
    <w:basedOn w:val="Normal"/>
    <w:link w:val="HeaderChar"/>
    <w:uiPriority w:val="99"/>
    <w:unhideWhenUsed/>
    <w:rsid w:val="00011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92"/>
  </w:style>
  <w:style w:type="paragraph" w:styleId="Footer">
    <w:name w:val="footer"/>
    <w:basedOn w:val="Normal"/>
    <w:link w:val="FooterChar"/>
    <w:uiPriority w:val="99"/>
    <w:unhideWhenUsed/>
    <w:rsid w:val="00011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92"/>
  </w:style>
  <w:style w:type="character" w:styleId="CommentReference">
    <w:name w:val="annotation reference"/>
    <w:basedOn w:val="DefaultParagraphFont"/>
    <w:uiPriority w:val="99"/>
    <w:semiHidden/>
    <w:unhideWhenUsed/>
    <w:rsid w:val="00595A91"/>
    <w:rPr>
      <w:sz w:val="16"/>
      <w:szCs w:val="16"/>
    </w:rPr>
  </w:style>
  <w:style w:type="paragraph" w:styleId="CommentText">
    <w:name w:val="annotation text"/>
    <w:basedOn w:val="Normal"/>
    <w:link w:val="CommentTextChar"/>
    <w:uiPriority w:val="99"/>
    <w:semiHidden/>
    <w:unhideWhenUsed/>
    <w:rsid w:val="00595A91"/>
    <w:pPr>
      <w:spacing w:line="240" w:lineRule="auto"/>
    </w:pPr>
    <w:rPr>
      <w:sz w:val="20"/>
      <w:szCs w:val="20"/>
    </w:rPr>
  </w:style>
  <w:style w:type="character" w:customStyle="1" w:styleId="CommentTextChar">
    <w:name w:val="Comment Text Char"/>
    <w:basedOn w:val="DefaultParagraphFont"/>
    <w:link w:val="CommentText"/>
    <w:uiPriority w:val="99"/>
    <w:semiHidden/>
    <w:rsid w:val="00595A91"/>
    <w:rPr>
      <w:sz w:val="20"/>
      <w:szCs w:val="20"/>
    </w:rPr>
  </w:style>
  <w:style w:type="paragraph" w:styleId="CommentSubject">
    <w:name w:val="annotation subject"/>
    <w:basedOn w:val="CommentText"/>
    <w:next w:val="CommentText"/>
    <w:link w:val="CommentSubjectChar"/>
    <w:uiPriority w:val="99"/>
    <w:semiHidden/>
    <w:unhideWhenUsed/>
    <w:rsid w:val="00595A91"/>
    <w:rPr>
      <w:b/>
      <w:bCs/>
    </w:rPr>
  </w:style>
  <w:style w:type="character" w:customStyle="1" w:styleId="CommentSubjectChar">
    <w:name w:val="Comment Subject Char"/>
    <w:basedOn w:val="CommentTextChar"/>
    <w:link w:val="CommentSubject"/>
    <w:uiPriority w:val="99"/>
    <w:semiHidden/>
    <w:rsid w:val="00595A91"/>
    <w:rPr>
      <w:b/>
      <w:bCs/>
      <w:sz w:val="20"/>
      <w:szCs w:val="20"/>
    </w:rPr>
  </w:style>
  <w:style w:type="paragraph" w:styleId="BalloonText">
    <w:name w:val="Balloon Text"/>
    <w:basedOn w:val="Normal"/>
    <w:link w:val="BalloonTextChar"/>
    <w:uiPriority w:val="99"/>
    <w:semiHidden/>
    <w:unhideWhenUsed/>
    <w:rsid w:val="0059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A91"/>
    <w:rPr>
      <w:rFonts w:ascii="Segoe UI" w:hAnsi="Segoe UI" w:cs="Segoe UI"/>
      <w:sz w:val="18"/>
      <w:szCs w:val="18"/>
    </w:rPr>
  </w:style>
  <w:style w:type="table" w:styleId="TableGrid">
    <w:name w:val="Table Grid"/>
    <w:basedOn w:val="TableNormal"/>
    <w:uiPriority w:val="39"/>
    <w:rsid w:val="00E2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65FE5"/>
    <w:pPr>
      <w:spacing w:after="0" w:line="240" w:lineRule="auto"/>
      <w:ind w:left="36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65FE5"/>
    <w:rPr>
      <w:rFonts w:ascii="Times New Roman" w:eastAsia="Times New Roman" w:hAnsi="Times New Roman" w:cs="Times New Roman"/>
      <w:sz w:val="24"/>
      <w:szCs w:val="24"/>
    </w:rPr>
  </w:style>
  <w:style w:type="paragraph" w:customStyle="1" w:styleId="Default">
    <w:name w:val="Default"/>
    <w:rsid w:val="005517D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3Char">
    <w:name w:val="Heading 3 Char"/>
    <w:basedOn w:val="DefaultParagraphFont"/>
    <w:link w:val="Heading3"/>
    <w:rsid w:val="00DD1A81"/>
    <w:rPr>
      <w:rFonts w:ascii="Times New Roman" w:eastAsia="Times New Roman" w:hAnsi="Times New Roman" w:cs="Times New Roman"/>
      <w:b/>
      <w:bCs/>
      <w:sz w:val="24"/>
      <w:szCs w:val="24"/>
    </w:rPr>
  </w:style>
  <w:style w:type="paragraph" w:styleId="BlockText">
    <w:name w:val="Block Text"/>
    <w:basedOn w:val="Normal"/>
    <w:rsid w:val="00DD1A81"/>
    <w:pPr>
      <w:spacing w:after="0" w:line="240" w:lineRule="auto"/>
      <w:ind w:left="1080" w:right="-142" w:hanging="1080"/>
    </w:pPr>
    <w:rPr>
      <w:rFonts w:ascii="Bookman Old Style" w:eastAsia="Times New Roman" w:hAnsi="Bookman Old Style" w:cs="Times New Roman"/>
      <w:szCs w:val="20"/>
    </w:rPr>
  </w:style>
  <w:style w:type="character" w:customStyle="1" w:styleId="Heading1Char">
    <w:name w:val="Heading 1 Char"/>
    <w:basedOn w:val="DefaultParagraphFont"/>
    <w:link w:val="Heading1"/>
    <w:uiPriority w:val="9"/>
    <w:rsid w:val="00B0588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FF32F7"/>
    <w:pPr>
      <w:spacing w:after="120"/>
    </w:pPr>
  </w:style>
  <w:style w:type="character" w:customStyle="1" w:styleId="BodyTextChar">
    <w:name w:val="Body Text Char"/>
    <w:basedOn w:val="DefaultParagraphFont"/>
    <w:link w:val="BodyText"/>
    <w:uiPriority w:val="99"/>
    <w:rsid w:val="00FF32F7"/>
  </w:style>
  <w:style w:type="paragraph" w:customStyle="1" w:styleId="TableParagraph">
    <w:name w:val="Table Paragraph"/>
    <w:basedOn w:val="Normal"/>
    <w:uiPriority w:val="1"/>
    <w:qFormat/>
    <w:rsid w:val="00FF32F7"/>
    <w:pPr>
      <w:widowControl w:val="0"/>
      <w:autoSpaceDE w:val="0"/>
      <w:autoSpaceDN w:val="0"/>
      <w:spacing w:after="0" w:line="272" w:lineRule="exact"/>
      <w:ind w:left="108"/>
    </w:pPr>
    <w:rPr>
      <w:rFonts w:ascii="Calibri" w:eastAsia="Calibri" w:hAnsi="Calibri" w:cs="Calibri"/>
      <w:lang w:eastAsia="en-GB" w:bidi="en-GB"/>
    </w:rPr>
  </w:style>
  <w:style w:type="character" w:customStyle="1" w:styleId="Heading2Char">
    <w:name w:val="Heading 2 Char"/>
    <w:basedOn w:val="DefaultParagraphFont"/>
    <w:link w:val="Heading2"/>
    <w:uiPriority w:val="9"/>
    <w:semiHidden/>
    <w:rsid w:val="003C511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9625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57A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A9E"/>
    <w:rPr>
      <w:sz w:val="20"/>
      <w:szCs w:val="20"/>
    </w:rPr>
  </w:style>
  <w:style w:type="character" w:styleId="FootnoteReference">
    <w:name w:val="footnote reference"/>
    <w:basedOn w:val="DefaultParagraphFont"/>
    <w:uiPriority w:val="99"/>
    <w:semiHidden/>
    <w:unhideWhenUsed/>
    <w:rsid w:val="00B57A9E"/>
    <w:rPr>
      <w:vertAlign w:val="superscript"/>
    </w:rPr>
  </w:style>
  <w:style w:type="character" w:styleId="FollowedHyperlink">
    <w:name w:val="FollowedHyperlink"/>
    <w:basedOn w:val="DefaultParagraphFont"/>
    <w:uiPriority w:val="99"/>
    <w:semiHidden/>
    <w:unhideWhenUsed/>
    <w:rsid w:val="00E12307"/>
    <w:rPr>
      <w:color w:val="954F72" w:themeColor="followedHyperlink"/>
      <w:u w:val="single"/>
    </w:rPr>
  </w:style>
  <w:style w:type="character" w:styleId="UnresolvedMention">
    <w:name w:val="Unresolved Mention"/>
    <w:basedOn w:val="DefaultParagraphFont"/>
    <w:uiPriority w:val="99"/>
    <w:semiHidden/>
    <w:unhideWhenUsed/>
    <w:rsid w:val="003F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6385">
      <w:bodyDiv w:val="1"/>
      <w:marLeft w:val="0"/>
      <w:marRight w:val="0"/>
      <w:marTop w:val="0"/>
      <w:marBottom w:val="0"/>
      <w:divBdr>
        <w:top w:val="none" w:sz="0" w:space="0" w:color="auto"/>
        <w:left w:val="none" w:sz="0" w:space="0" w:color="auto"/>
        <w:bottom w:val="none" w:sz="0" w:space="0" w:color="auto"/>
        <w:right w:val="none" w:sz="0" w:space="0" w:color="auto"/>
      </w:divBdr>
    </w:div>
    <w:div w:id="623772006">
      <w:bodyDiv w:val="1"/>
      <w:marLeft w:val="0"/>
      <w:marRight w:val="0"/>
      <w:marTop w:val="0"/>
      <w:marBottom w:val="0"/>
      <w:divBdr>
        <w:top w:val="none" w:sz="0" w:space="0" w:color="auto"/>
        <w:left w:val="none" w:sz="0" w:space="0" w:color="auto"/>
        <w:bottom w:val="none" w:sz="0" w:space="0" w:color="auto"/>
        <w:right w:val="none" w:sz="0" w:space="0" w:color="auto"/>
      </w:divBdr>
    </w:div>
    <w:div w:id="708261021">
      <w:bodyDiv w:val="1"/>
      <w:marLeft w:val="0"/>
      <w:marRight w:val="0"/>
      <w:marTop w:val="0"/>
      <w:marBottom w:val="0"/>
      <w:divBdr>
        <w:top w:val="none" w:sz="0" w:space="0" w:color="auto"/>
        <w:left w:val="none" w:sz="0" w:space="0" w:color="auto"/>
        <w:bottom w:val="none" w:sz="0" w:space="0" w:color="auto"/>
        <w:right w:val="none" w:sz="0" w:space="0" w:color="auto"/>
      </w:divBdr>
    </w:div>
    <w:div w:id="850335441">
      <w:bodyDiv w:val="1"/>
      <w:marLeft w:val="0"/>
      <w:marRight w:val="0"/>
      <w:marTop w:val="0"/>
      <w:marBottom w:val="0"/>
      <w:divBdr>
        <w:top w:val="none" w:sz="0" w:space="0" w:color="auto"/>
        <w:left w:val="none" w:sz="0" w:space="0" w:color="auto"/>
        <w:bottom w:val="none" w:sz="0" w:space="0" w:color="auto"/>
        <w:right w:val="none" w:sz="0" w:space="0" w:color="auto"/>
      </w:divBdr>
    </w:div>
    <w:div w:id="869993564">
      <w:bodyDiv w:val="1"/>
      <w:marLeft w:val="0"/>
      <w:marRight w:val="0"/>
      <w:marTop w:val="0"/>
      <w:marBottom w:val="0"/>
      <w:divBdr>
        <w:top w:val="none" w:sz="0" w:space="0" w:color="auto"/>
        <w:left w:val="none" w:sz="0" w:space="0" w:color="auto"/>
        <w:bottom w:val="none" w:sz="0" w:space="0" w:color="auto"/>
        <w:right w:val="none" w:sz="0" w:space="0" w:color="auto"/>
      </w:divBdr>
    </w:div>
    <w:div w:id="1097944322">
      <w:bodyDiv w:val="1"/>
      <w:marLeft w:val="0"/>
      <w:marRight w:val="0"/>
      <w:marTop w:val="0"/>
      <w:marBottom w:val="0"/>
      <w:divBdr>
        <w:top w:val="none" w:sz="0" w:space="0" w:color="auto"/>
        <w:left w:val="none" w:sz="0" w:space="0" w:color="auto"/>
        <w:bottom w:val="none" w:sz="0" w:space="0" w:color="auto"/>
        <w:right w:val="none" w:sz="0" w:space="0" w:color="auto"/>
      </w:divBdr>
    </w:div>
    <w:div w:id="1807040198">
      <w:bodyDiv w:val="1"/>
      <w:marLeft w:val="0"/>
      <w:marRight w:val="0"/>
      <w:marTop w:val="0"/>
      <w:marBottom w:val="0"/>
      <w:divBdr>
        <w:top w:val="none" w:sz="0" w:space="0" w:color="auto"/>
        <w:left w:val="none" w:sz="0" w:space="0" w:color="auto"/>
        <w:bottom w:val="none" w:sz="0" w:space="0" w:color="auto"/>
        <w:right w:val="none" w:sz="0" w:space="0" w:color="auto"/>
      </w:divBdr>
    </w:div>
    <w:div w:id="1894389079">
      <w:bodyDiv w:val="1"/>
      <w:marLeft w:val="0"/>
      <w:marRight w:val="0"/>
      <w:marTop w:val="0"/>
      <w:marBottom w:val="0"/>
      <w:divBdr>
        <w:top w:val="none" w:sz="0" w:space="0" w:color="auto"/>
        <w:left w:val="none" w:sz="0" w:space="0" w:color="auto"/>
        <w:bottom w:val="none" w:sz="0" w:space="0" w:color="auto"/>
        <w:right w:val="none" w:sz="0" w:space="0" w:color="auto"/>
      </w:divBdr>
      <w:divsChild>
        <w:div w:id="2017416516">
          <w:marLeft w:val="0"/>
          <w:marRight w:val="0"/>
          <w:marTop w:val="0"/>
          <w:marBottom w:val="120"/>
          <w:divBdr>
            <w:top w:val="none" w:sz="0" w:space="0" w:color="auto"/>
            <w:left w:val="none" w:sz="0" w:space="0" w:color="auto"/>
            <w:bottom w:val="none" w:sz="0" w:space="0" w:color="auto"/>
            <w:right w:val="none" w:sz="0" w:space="0" w:color="auto"/>
          </w:divBdr>
        </w:div>
        <w:div w:id="921910897">
          <w:marLeft w:val="0"/>
          <w:marRight w:val="0"/>
          <w:marTop w:val="0"/>
          <w:marBottom w:val="120"/>
          <w:divBdr>
            <w:top w:val="none" w:sz="0" w:space="0" w:color="auto"/>
            <w:left w:val="none" w:sz="0" w:space="0" w:color="auto"/>
            <w:bottom w:val="none" w:sz="0" w:space="0" w:color="auto"/>
            <w:right w:val="none" w:sz="0" w:space="0" w:color="auto"/>
          </w:divBdr>
        </w:div>
        <w:div w:id="248806468">
          <w:marLeft w:val="0"/>
          <w:marRight w:val="0"/>
          <w:marTop w:val="0"/>
          <w:marBottom w:val="120"/>
          <w:divBdr>
            <w:top w:val="none" w:sz="0" w:space="0" w:color="auto"/>
            <w:left w:val="none" w:sz="0" w:space="0" w:color="auto"/>
            <w:bottom w:val="none" w:sz="0" w:space="0" w:color="auto"/>
            <w:right w:val="none" w:sz="0" w:space="0" w:color="auto"/>
          </w:divBdr>
        </w:div>
        <w:div w:id="19602600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AFC4-7E2A-49BC-9CD0-329DA048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 Angie (Dr.)</dc:creator>
  <cp:keywords/>
  <dc:description/>
  <cp:lastModifiedBy>Noori, Humaa</cp:lastModifiedBy>
  <cp:revision>3</cp:revision>
  <dcterms:created xsi:type="dcterms:W3CDTF">2023-04-12T09:05:00Z</dcterms:created>
  <dcterms:modified xsi:type="dcterms:W3CDTF">2023-05-03T10:12:00Z</dcterms:modified>
</cp:coreProperties>
</file>