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785E" w14:textId="1A976663" w:rsidR="00140336" w:rsidRPr="00140336" w:rsidRDefault="00140336" w:rsidP="00EB5DBC">
      <w:pPr>
        <w:pStyle w:val="Heading7"/>
        <w:tabs>
          <w:tab w:val="left" w:pos="1388"/>
          <w:tab w:val="left" w:pos="1389"/>
        </w:tabs>
        <w:spacing w:before="1"/>
        <w:ind w:left="0" w:firstLine="0"/>
        <w:jc w:val="both"/>
        <w:rPr>
          <w:sz w:val="40"/>
          <w:szCs w:val="40"/>
        </w:rPr>
      </w:pPr>
      <w:r w:rsidRPr="00140336">
        <w:rPr>
          <w:sz w:val="40"/>
          <w:szCs w:val="40"/>
        </w:rPr>
        <w:t>University of Leicester Pay Gaps Report 2024</w:t>
      </w:r>
    </w:p>
    <w:p w14:paraId="435FE17B" w14:textId="70EBF2E3" w:rsidR="00140336" w:rsidRDefault="00140336" w:rsidP="00140336">
      <w:pPr>
        <w:pStyle w:val="Heading7"/>
        <w:tabs>
          <w:tab w:val="left" w:pos="1388"/>
          <w:tab w:val="left" w:pos="1389"/>
        </w:tabs>
        <w:spacing w:before="1"/>
        <w:jc w:val="both"/>
      </w:pPr>
    </w:p>
    <w:p w14:paraId="26D1DF02" w14:textId="5C6522F8" w:rsidR="00061C3D" w:rsidRDefault="00061C3D" w:rsidP="00140336">
      <w:pPr>
        <w:pStyle w:val="Heading7"/>
        <w:tabs>
          <w:tab w:val="left" w:pos="1388"/>
          <w:tab w:val="left" w:pos="1389"/>
        </w:tabs>
        <w:spacing w:before="1"/>
        <w:jc w:val="both"/>
      </w:pPr>
    </w:p>
    <w:p w14:paraId="2EFB7CBB" w14:textId="00ECD659" w:rsidR="00061C3D" w:rsidRDefault="00061C3D" w:rsidP="00140336">
      <w:pPr>
        <w:pStyle w:val="Heading7"/>
        <w:tabs>
          <w:tab w:val="left" w:pos="1388"/>
          <w:tab w:val="left" w:pos="1389"/>
        </w:tabs>
        <w:spacing w:before="1"/>
        <w:jc w:val="both"/>
      </w:pPr>
    </w:p>
    <w:p w14:paraId="18E7C197" w14:textId="738B6FE4" w:rsidR="00061C3D" w:rsidRDefault="00061C3D" w:rsidP="00140336">
      <w:pPr>
        <w:pStyle w:val="Heading7"/>
        <w:tabs>
          <w:tab w:val="left" w:pos="1388"/>
          <w:tab w:val="left" w:pos="1389"/>
        </w:tabs>
        <w:spacing w:before="1"/>
        <w:jc w:val="both"/>
      </w:pPr>
      <w:r>
        <w:rPr>
          <w:noProof/>
        </w:rPr>
        <w:drawing>
          <wp:inline distT="0" distB="0" distL="0" distR="0" wp14:anchorId="475078DC" wp14:editId="70FADED1">
            <wp:extent cx="3619500" cy="336987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stretch>
                      <a:fillRect/>
                    </a:stretch>
                  </pic:blipFill>
                  <pic:spPr>
                    <a:xfrm>
                      <a:off x="0" y="0"/>
                      <a:ext cx="3623694" cy="3373784"/>
                    </a:xfrm>
                    <a:prstGeom prst="rect">
                      <a:avLst/>
                    </a:prstGeom>
                  </pic:spPr>
                </pic:pic>
              </a:graphicData>
            </a:graphic>
          </wp:inline>
        </w:drawing>
      </w:r>
    </w:p>
    <w:p w14:paraId="5FF0F7FA" w14:textId="3A6615F6" w:rsidR="00061C3D" w:rsidRDefault="00061C3D" w:rsidP="00140336">
      <w:pPr>
        <w:pStyle w:val="Heading7"/>
        <w:tabs>
          <w:tab w:val="left" w:pos="1388"/>
          <w:tab w:val="left" w:pos="1389"/>
        </w:tabs>
        <w:spacing w:before="1"/>
        <w:jc w:val="both"/>
      </w:pPr>
    </w:p>
    <w:p w14:paraId="79656251" w14:textId="4179C978" w:rsidR="00061C3D" w:rsidRDefault="00061C3D" w:rsidP="00140336">
      <w:pPr>
        <w:pStyle w:val="Heading7"/>
        <w:tabs>
          <w:tab w:val="left" w:pos="1388"/>
          <w:tab w:val="left" w:pos="1389"/>
        </w:tabs>
        <w:spacing w:before="1"/>
        <w:jc w:val="both"/>
      </w:pPr>
    </w:p>
    <w:p w14:paraId="711D4CC5" w14:textId="38169E71" w:rsidR="00061C3D" w:rsidRDefault="00061C3D" w:rsidP="00140336">
      <w:pPr>
        <w:pStyle w:val="Heading7"/>
        <w:tabs>
          <w:tab w:val="left" w:pos="1388"/>
          <w:tab w:val="left" w:pos="1389"/>
        </w:tabs>
        <w:spacing w:before="1"/>
        <w:jc w:val="both"/>
      </w:pPr>
    </w:p>
    <w:p w14:paraId="2A81211C" w14:textId="7E7645C4" w:rsidR="00140336" w:rsidRPr="00140336" w:rsidRDefault="00140336" w:rsidP="00EB5DBC">
      <w:pPr>
        <w:pStyle w:val="Heading7"/>
        <w:tabs>
          <w:tab w:val="left" w:pos="1388"/>
          <w:tab w:val="left" w:pos="1389"/>
        </w:tabs>
        <w:spacing w:before="1"/>
        <w:ind w:left="0" w:firstLine="0"/>
        <w:jc w:val="both"/>
        <w:rPr>
          <w:b w:val="0"/>
          <w:bCs w:val="0"/>
          <w:sz w:val="28"/>
          <w:szCs w:val="28"/>
        </w:rPr>
      </w:pPr>
      <w:r w:rsidRPr="00140336">
        <w:rPr>
          <w:b w:val="0"/>
          <w:bCs w:val="0"/>
          <w:sz w:val="28"/>
          <w:szCs w:val="28"/>
        </w:rPr>
        <w:t>The University of Leicester’s commitment to ensuring all members of our community are treated in a fair and equitable way remains a key priority.</w:t>
      </w:r>
    </w:p>
    <w:p w14:paraId="1A5F7175" w14:textId="5A9055B7" w:rsidR="00140336" w:rsidRDefault="00140336" w:rsidP="00EB5DBC">
      <w:pPr>
        <w:pStyle w:val="Heading7"/>
        <w:tabs>
          <w:tab w:val="left" w:pos="1388"/>
          <w:tab w:val="left" w:pos="1389"/>
        </w:tabs>
        <w:spacing w:before="1"/>
        <w:ind w:left="0" w:firstLine="0"/>
        <w:jc w:val="both"/>
        <w:rPr>
          <w:b w:val="0"/>
          <w:bCs w:val="0"/>
          <w:sz w:val="26"/>
          <w:szCs w:val="26"/>
        </w:rPr>
      </w:pPr>
    </w:p>
    <w:p w14:paraId="6E3540DE" w14:textId="2E63C52F" w:rsidR="00140336" w:rsidRDefault="000134C7" w:rsidP="00EB5DBC">
      <w:pPr>
        <w:pStyle w:val="Heading7"/>
        <w:tabs>
          <w:tab w:val="left" w:pos="1388"/>
          <w:tab w:val="left" w:pos="1389"/>
        </w:tabs>
        <w:spacing w:before="1"/>
        <w:ind w:left="0" w:firstLine="0"/>
        <w:jc w:val="both"/>
        <w:rPr>
          <w:b w:val="0"/>
          <w:bCs w:val="0"/>
          <w:sz w:val="24"/>
          <w:szCs w:val="24"/>
        </w:rPr>
      </w:pPr>
      <w:r>
        <w:rPr>
          <w:b w:val="0"/>
          <w:bCs w:val="0"/>
          <w:sz w:val="24"/>
          <w:szCs w:val="24"/>
        </w:rPr>
        <w:t>You can find information about the University’s 2024 disability, ethnicity, gender and sexual orientation pay gap information and the actions we are taking to close these gaps on these pages.</w:t>
      </w:r>
    </w:p>
    <w:p w14:paraId="44906CD9" w14:textId="73AC9353" w:rsidR="000134C7" w:rsidRDefault="000134C7" w:rsidP="00EB5DBC">
      <w:pPr>
        <w:pStyle w:val="Heading7"/>
        <w:tabs>
          <w:tab w:val="left" w:pos="1388"/>
          <w:tab w:val="left" w:pos="1389"/>
        </w:tabs>
        <w:spacing w:before="1"/>
        <w:ind w:left="0" w:firstLine="0"/>
        <w:jc w:val="both"/>
        <w:rPr>
          <w:b w:val="0"/>
          <w:bCs w:val="0"/>
          <w:sz w:val="24"/>
          <w:szCs w:val="24"/>
        </w:rPr>
      </w:pPr>
    </w:p>
    <w:p w14:paraId="3E9CD6D5" w14:textId="4CA7AF1C" w:rsidR="000134C7" w:rsidRDefault="000134C7" w:rsidP="00EB5DBC">
      <w:pPr>
        <w:pStyle w:val="Heading7"/>
        <w:tabs>
          <w:tab w:val="left" w:pos="1388"/>
          <w:tab w:val="left" w:pos="1389"/>
        </w:tabs>
        <w:spacing w:before="1"/>
        <w:ind w:left="0" w:firstLine="0"/>
        <w:jc w:val="both"/>
        <w:rPr>
          <w:b w:val="0"/>
          <w:bCs w:val="0"/>
          <w:sz w:val="24"/>
          <w:szCs w:val="24"/>
        </w:rPr>
      </w:pPr>
      <w:r>
        <w:rPr>
          <w:b w:val="0"/>
          <w:bCs w:val="0"/>
          <w:sz w:val="24"/>
          <w:szCs w:val="24"/>
        </w:rPr>
        <w:t xml:space="preserve">Whilst there is no statutory duty to report on pay gap data beyond gender, we are publishing this data as part of our commitment to equity for all staff. Publishing this will enable us to track, monitor and report our progress in a transparent way, to better understand the cause of any disparities and to determine future actions to close these gaps. </w:t>
      </w:r>
    </w:p>
    <w:p w14:paraId="57F59139" w14:textId="02D11F90" w:rsidR="000134C7" w:rsidRDefault="000134C7" w:rsidP="00140336">
      <w:pPr>
        <w:pStyle w:val="Heading7"/>
        <w:tabs>
          <w:tab w:val="left" w:pos="1388"/>
          <w:tab w:val="left" w:pos="1389"/>
        </w:tabs>
        <w:spacing w:before="1"/>
        <w:ind w:left="669" w:firstLine="0"/>
        <w:jc w:val="both"/>
        <w:rPr>
          <w:b w:val="0"/>
          <w:bCs w:val="0"/>
          <w:sz w:val="24"/>
          <w:szCs w:val="24"/>
        </w:rPr>
      </w:pPr>
    </w:p>
    <w:p w14:paraId="2BB48159" w14:textId="4A2230A4" w:rsidR="000134C7" w:rsidRPr="00AD3846" w:rsidRDefault="000134C7" w:rsidP="00EB5DBC">
      <w:pPr>
        <w:pStyle w:val="Heading7"/>
        <w:tabs>
          <w:tab w:val="left" w:pos="1388"/>
          <w:tab w:val="left" w:pos="1389"/>
        </w:tabs>
        <w:spacing w:before="1"/>
        <w:ind w:left="0" w:firstLine="0"/>
        <w:jc w:val="both"/>
        <w:rPr>
          <w:color w:val="C45911" w:themeColor="accent2" w:themeShade="BF"/>
          <w:sz w:val="28"/>
          <w:szCs w:val="28"/>
        </w:rPr>
      </w:pPr>
      <w:r w:rsidRPr="00AD3846">
        <w:rPr>
          <w:color w:val="C45911" w:themeColor="accent2" w:themeShade="BF"/>
          <w:sz w:val="28"/>
          <w:szCs w:val="28"/>
        </w:rPr>
        <w:t>Dat</w:t>
      </w:r>
      <w:r w:rsidR="001A67A5" w:rsidRPr="00AD3846">
        <w:rPr>
          <w:color w:val="C45911" w:themeColor="accent2" w:themeShade="BF"/>
          <w:sz w:val="28"/>
          <w:szCs w:val="28"/>
        </w:rPr>
        <w:t>a</w:t>
      </w:r>
      <w:r w:rsidRPr="00AD3846">
        <w:rPr>
          <w:color w:val="C45911" w:themeColor="accent2" w:themeShade="BF"/>
          <w:sz w:val="28"/>
          <w:szCs w:val="28"/>
        </w:rPr>
        <w:t xml:space="preserve"> note</w:t>
      </w:r>
    </w:p>
    <w:p w14:paraId="291AA042" w14:textId="77777777" w:rsidR="000134C7" w:rsidRPr="00140336" w:rsidRDefault="000134C7" w:rsidP="00140336">
      <w:pPr>
        <w:pStyle w:val="Heading7"/>
        <w:tabs>
          <w:tab w:val="left" w:pos="1388"/>
          <w:tab w:val="left" w:pos="1389"/>
        </w:tabs>
        <w:spacing w:before="1"/>
        <w:ind w:left="669" w:firstLine="0"/>
        <w:jc w:val="both"/>
        <w:rPr>
          <w:b w:val="0"/>
          <w:bCs w:val="0"/>
          <w:sz w:val="24"/>
          <w:szCs w:val="24"/>
        </w:rPr>
      </w:pPr>
    </w:p>
    <w:p w14:paraId="122B2A8B" w14:textId="5B3D977E" w:rsidR="00140336" w:rsidRPr="00EB5DBC" w:rsidRDefault="00D72075" w:rsidP="00EB5DBC">
      <w:pPr>
        <w:pStyle w:val="Heading7"/>
        <w:tabs>
          <w:tab w:val="left" w:pos="1388"/>
          <w:tab w:val="left" w:pos="1389"/>
        </w:tabs>
        <w:spacing w:before="1"/>
        <w:ind w:left="0" w:firstLine="0"/>
        <w:jc w:val="both"/>
        <w:rPr>
          <w:b w:val="0"/>
          <w:bCs w:val="0"/>
          <w:sz w:val="24"/>
          <w:szCs w:val="24"/>
        </w:rPr>
      </w:pPr>
      <w:r w:rsidRPr="00EB5DBC">
        <w:rPr>
          <w:b w:val="0"/>
          <w:bCs w:val="0"/>
          <w:sz w:val="24"/>
          <w:szCs w:val="24"/>
        </w:rPr>
        <w:t xml:space="preserve">The data used to </w:t>
      </w:r>
      <w:r w:rsidR="00EB5DBC" w:rsidRPr="00EB5DBC">
        <w:rPr>
          <w:b w:val="0"/>
          <w:bCs w:val="0"/>
          <w:sz w:val="24"/>
          <w:szCs w:val="24"/>
        </w:rPr>
        <w:t>calculate</w:t>
      </w:r>
      <w:r w:rsidRPr="00EB5DBC">
        <w:rPr>
          <w:b w:val="0"/>
          <w:bCs w:val="0"/>
          <w:sz w:val="24"/>
          <w:szCs w:val="24"/>
        </w:rPr>
        <w:t xml:space="preserve"> the relevant pay gaps comes from</w:t>
      </w:r>
      <w:r w:rsidR="00EB5DBC" w:rsidRPr="00EB5DBC">
        <w:rPr>
          <w:b w:val="0"/>
          <w:bCs w:val="0"/>
          <w:sz w:val="24"/>
          <w:szCs w:val="24"/>
        </w:rPr>
        <w:t xml:space="preserve"> </w:t>
      </w:r>
      <w:r w:rsidRPr="00EB5DBC">
        <w:rPr>
          <w:b w:val="0"/>
          <w:bCs w:val="0"/>
          <w:sz w:val="24"/>
          <w:szCs w:val="24"/>
        </w:rPr>
        <w:t>a snapshot of employee data taken on the census date of 31 March 2024</w:t>
      </w:r>
      <w:r w:rsidR="00EB5DBC" w:rsidRPr="00EB5DBC">
        <w:rPr>
          <w:b w:val="0"/>
          <w:bCs w:val="0"/>
          <w:sz w:val="24"/>
          <w:szCs w:val="24"/>
        </w:rPr>
        <w:t xml:space="preserve">. The gender pay gap data includes all Full Pay Relevant Employees in line with statutory guidelines for reporting. There are no statutory guidelines for reporting ethnicity, disability and sexual orientation pay gaps. The methodology used </w:t>
      </w:r>
      <w:r w:rsidR="00EB5DBC">
        <w:rPr>
          <w:b w:val="0"/>
          <w:bCs w:val="0"/>
          <w:sz w:val="24"/>
          <w:szCs w:val="24"/>
        </w:rPr>
        <w:t xml:space="preserve">to calculate these pay gaps varies from the methodology used to calculate the statutory gender pay gap. Due to system limitations and the low declaration rates of protected characteristics beyond ‘legal sex’ from our atypical staff, we have excluded these staff from </w:t>
      </w:r>
      <w:r w:rsidR="00EB5DBC">
        <w:rPr>
          <w:b w:val="0"/>
          <w:bCs w:val="0"/>
          <w:sz w:val="24"/>
          <w:szCs w:val="24"/>
        </w:rPr>
        <w:lastRenderedPageBreak/>
        <w:t>the ethnicity, disability and sexual orientation pay gap figures, along with any staff who have chosen ‘Prefer Not to Say’ for the relevant protected characteristic. We hope to move to more full reporting of all employees following future system developments.</w:t>
      </w:r>
    </w:p>
    <w:p w14:paraId="675EB1FD" w14:textId="2E05B013" w:rsidR="00140336" w:rsidRPr="00EB5DBC" w:rsidRDefault="00140336" w:rsidP="00EB5DBC">
      <w:pPr>
        <w:pStyle w:val="Heading7"/>
        <w:tabs>
          <w:tab w:val="left" w:pos="1388"/>
          <w:tab w:val="left" w:pos="1389"/>
        </w:tabs>
        <w:spacing w:before="1"/>
        <w:ind w:left="0" w:firstLine="0"/>
        <w:jc w:val="both"/>
        <w:rPr>
          <w:b w:val="0"/>
          <w:bCs w:val="0"/>
          <w:color w:val="C45911" w:themeColor="accent2" w:themeShade="BF"/>
          <w:sz w:val="26"/>
          <w:szCs w:val="26"/>
        </w:rPr>
      </w:pPr>
    </w:p>
    <w:p w14:paraId="608F2A2C" w14:textId="04046588" w:rsidR="00140336" w:rsidRDefault="00140336" w:rsidP="002D4335">
      <w:pPr>
        <w:pStyle w:val="Heading7"/>
        <w:tabs>
          <w:tab w:val="left" w:pos="1388"/>
          <w:tab w:val="left" w:pos="1389"/>
        </w:tabs>
        <w:spacing w:before="1"/>
        <w:ind w:left="0" w:firstLine="0"/>
        <w:jc w:val="both"/>
        <w:rPr>
          <w:b w:val="0"/>
          <w:bCs w:val="0"/>
          <w:color w:val="C45911" w:themeColor="accent2" w:themeShade="BF"/>
          <w:sz w:val="26"/>
          <w:szCs w:val="26"/>
        </w:rPr>
      </w:pPr>
    </w:p>
    <w:p w14:paraId="37B7C549" w14:textId="4758AD3A" w:rsidR="002D4335" w:rsidRPr="00AD3846" w:rsidRDefault="002D4335" w:rsidP="002D4335">
      <w:pPr>
        <w:pStyle w:val="Heading7"/>
        <w:tabs>
          <w:tab w:val="left" w:pos="1388"/>
          <w:tab w:val="left" w:pos="1389"/>
        </w:tabs>
        <w:spacing w:before="1"/>
        <w:ind w:left="0" w:firstLine="0"/>
        <w:jc w:val="both"/>
        <w:rPr>
          <w:color w:val="C45911" w:themeColor="accent2" w:themeShade="BF"/>
          <w:sz w:val="28"/>
          <w:szCs w:val="28"/>
        </w:rPr>
      </w:pPr>
      <w:r w:rsidRPr="00AD3846">
        <w:rPr>
          <w:color w:val="C45911" w:themeColor="accent2" w:themeShade="BF"/>
          <w:sz w:val="28"/>
          <w:szCs w:val="28"/>
        </w:rPr>
        <w:t>Headline Data</w:t>
      </w:r>
    </w:p>
    <w:p w14:paraId="3236773F" w14:textId="7ED2AF9D" w:rsidR="00C64C51" w:rsidRPr="00A51C7F" w:rsidRDefault="00C64C51" w:rsidP="001A67A5">
      <w:pPr>
        <w:spacing w:before="118"/>
        <w:ind w:right="237"/>
        <w:rPr>
          <w:sz w:val="24"/>
          <w:szCs w:val="24"/>
        </w:rPr>
      </w:pPr>
      <w:r w:rsidRPr="00A51C7F">
        <w:rPr>
          <w:sz w:val="24"/>
          <w:szCs w:val="24"/>
        </w:rPr>
        <w:t xml:space="preserve">The headline data from the 2024 Report includes:   </w:t>
      </w:r>
    </w:p>
    <w:p w14:paraId="6E897A8F" w14:textId="77777777" w:rsidR="00C64C51" w:rsidRPr="00A51C7F" w:rsidRDefault="00C64C51" w:rsidP="001A67A5">
      <w:pPr>
        <w:spacing w:before="118"/>
        <w:ind w:right="237"/>
        <w:rPr>
          <w:sz w:val="24"/>
          <w:szCs w:val="24"/>
        </w:rPr>
      </w:pPr>
      <w:r w:rsidRPr="00A51C7F">
        <w:rPr>
          <w:sz w:val="24"/>
          <w:szCs w:val="24"/>
        </w:rPr>
        <w:t>Median Pay Gaps Changes:</w:t>
      </w:r>
    </w:p>
    <w:p w14:paraId="2B2FB583" w14:textId="77777777" w:rsidR="00C64C51" w:rsidRPr="00A51C7F" w:rsidRDefault="00C64C51" w:rsidP="00C64C51">
      <w:pPr>
        <w:pStyle w:val="ListParagraph"/>
        <w:numPr>
          <w:ilvl w:val="0"/>
          <w:numId w:val="1"/>
        </w:numPr>
        <w:spacing w:before="0"/>
        <w:ind w:left="1182" w:right="237"/>
        <w:rPr>
          <w:sz w:val="24"/>
          <w:szCs w:val="24"/>
        </w:rPr>
      </w:pPr>
      <w:r w:rsidRPr="00A51C7F">
        <w:rPr>
          <w:sz w:val="24"/>
          <w:szCs w:val="24"/>
        </w:rPr>
        <w:t>A very small decrease in the median disability pay gap (of 0.3 percentage points from 19.5% to 19.2%).</w:t>
      </w:r>
    </w:p>
    <w:p w14:paraId="60533C47" w14:textId="77777777" w:rsidR="00C64C51" w:rsidRPr="00A51C7F" w:rsidRDefault="00C64C51" w:rsidP="00C64C51">
      <w:pPr>
        <w:pStyle w:val="ListParagraph"/>
        <w:numPr>
          <w:ilvl w:val="0"/>
          <w:numId w:val="1"/>
        </w:numPr>
        <w:spacing w:before="0"/>
        <w:ind w:left="1182" w:right="237"/>
        <w:rPr>
          <w:sz w:val="24"/>
          <w:szCs w:val="24"/>
        </w:rPr>
      </w:pPr>
      <w:r w:rsidRPr="00A51C7F">
        <w:rPr>
          <w:sz w:val="24"/>
          <w:szCs w:val="24"/>
        </w:rPr>
        <w:t xml:space="preserve">An increase in the median ethnicity pay gap (of 1.0 percentage point from 13.3% in 2023 to 14.3%), in the median gender pay gap (of 0.2 percentage points from 17.9% in 2023 to 18.1% in 2024) and in the median sexual orientation pay gap (of 0.2 percentage points from 16.9% in 2023 to 17.1% in 2024). </w:t>
      </w:r>
    </w:p>
    <w:p w14:paraId="743C59E3" w14:textId="77777777" w:rsidR="00C64C51" w:rsidRPr="00A51C7F" w:rsidRDefault="00C64C51" w:rsidP="00C64C51">
      <w:pPr>
        <w:pStyle w:val="ListParagraph"/>
        <w:numPr>
          <w:ilvl w:val="0"/>
          <w:numId w:val="1"/>
        </w:numPr>
        <w:spacing w:before="0"/>
        <w:ind w:left="1182" w:right="237"/>
        <w:rPr>
          <w:sz w:val="24"/>
          <w:szCs w:val="24"/>
        </w:rPr>
      </w:pPr>
      <w:r w:rsidRPr="00A51C7F">
        <w:rPr>
          <w:sz w:val="24"/>
          <w:szCs w:val="24"/>
        </w:rPr>
        <w:t>This amounts to a total movement of 1.7 percentage points across the 4 median pay</w:t>
      </w:r>
      <w:r w:rsidRPr="00A51C7F">
        <w:rPr>
          <w:sz w:val="24"/>
          <w:szCs w:val="24"/>
          <w:u w:val="single"/>
        </w:rPr>
        <w:t xml:space="preserve"> gaps</w:t>
      </w:r>
      <w:r w:rsidRPr="00A51C7F">
        <w:rPr>
          <w:sz w:val="24"/>
          <w:szCs w:val="24"/>
        </w:rPr>
        <w:t xml:space="preserve">, with 0.3 of this being favourable (decreasing pay gaps) and 1.4 being unfavorable (increasing pay gaps). </w:t>
      </w:r>
    </w:p>
    <w:p w14:paraId="4A516176" w14:textId="77777777" w:rsidR="00C64C51" w:rsidRPr="00A51C7F" w:rsidRDefault="00C64C51" w:rsidP="001A67A5">
      <w:pPr>
        <w:spacing w:before="118"/>
        <w:ind w:right="237"/>
        <w:rPr>
          <w:sz w:val="24"/>
          <w:szCs w:val="24"/>
        </w:rPr>
      </w:pPr>
      <w:r w:rsidRPr="00A51C7F">
        <w:rPr>
          <w:sz w:val="24"/>
          <w:szCs w:val="24"/>
        </w:rPr>
        <w:t>Mean Pay Gaps Changes:</w:t>
      </w:r>
    </w:p>
    <w:p w14:paraId="2F14B96B" w14:textId="77777777" w:rsidR="00C64C51" w:rsidRPr="00A51C7F" w:rsidRDefault="00C64C51" w:rsidP="00C64C51">
      <w:pPr>
        <w:pStyle w:val="ListParagraph"/>
        <w:numPr>
          <w:ilvl w:val="0"/>
          <w:numId w:val="2"/>
        </w:numPr>
        <w:spacing w:before="0"/>
        <w:ind w:left="1134" w:right="237"/>
        <w:rPr>
          <w:sz w:val="24"/>
          <w:szCs w:val="24"/>
        </w:rPr>
      </w:pPr>
      <w:r w:rsidRPr="00A51C7F">
        <w:rPr>
          <w:sz w:val="24"/>
          <w:szCs w:val="24"/>
        </w:rPr>
        <w:t>There is an increase of over 5 percentage points in the mean disability pay gap (5.6 percentage points, from 9.2 in 2023 to 14.8% in 2024).</w:t>
      </w:r>
    </w:p>
    <w:p w14:paraId="491A17A3" w14:textId="77777777" w:rsidR="00C64C51" w:rsidRPr="00A51C7F" w:rsidRDefault="00C64C51" w:rsidP="00C64C51">
      <w:pPr>
        <w:pStyle w:val="ListParagraph"/>
        <w:numPr>
          <w:ilvl w:val="0"/>
          <w:numId w:val="2"/>
        </w:numPr>
        <w:spacing w:before="0"/>
        <w:ind w:left="1134" w:right="237"/>
        <w:rPr>
          <w:sz w:val="24"/>
          <w:szCs w:val="24"/>
        </w:rPr>
      </w:pPr>
      <w:r w:rsidRPr="00A51C7F">
        <w:rPr>
          <w:sz w:val="24"/>
          <w:szCs w:val="24"/>
        </w:rPr>
        <w:t>There is a smaller increase of 2.1 percentage points in the mean sexual orientation pay gap (from 12.4% in 2023 to 14.5% in 2024).</w:t>
      </w:r>
    </w:p>
    <w:p w14:paraId="090992EC" w14:textId="77777777" w:rsidR="00C64C51" w:rsidRPr="00A51C7F" w:rsidRDefault="00C64C51" w:rsidP="00C64C51">
      <w:pPr>
        <w:pStyle w:val="ListParagraph"/>
        <w:numPr>
          <w:ilvl w:val="0"/>
          <w:numId w:val="2"/>
        </w:numPr>
        <w:spacing w:before="0"/>
        <w:ind w:left="1134" w:right="237"/>
        <w:rPr>
          <w:sz w:val="24"/>
          <w:szCs w:val="24"/>
        </w:rPr>
      </w:pPr>
      <w:r w:rsidRPr="00A51C7F">
        <w:rPr>
          <w:sz w:val="24"/>
          <w:szCs w:val="24"/>
        </w:rPr>
        <w:t xml:space="preserve">Both the mean ethnicity </w:t>
      </w:r>
      <w:proofErr w:type="gramStart"/>
      <w:r w:rsidRPr="00A51C7F">
        <w:rPr>
          <w:sz w:val="24"/>
          <w:szCs w:val="24"/>
        </w:rPr>
        <w:t>pay</w:t>
      </w:r>
      <w:proofErr w:type="gramEnd"/>
      <w:r w:rsidRPr="00A51C7F">
        <w:rPr>
          <w:sz w:val="24"/>
          <w:szCs w:val="24"/>
        </w:rPr>
        <w:t xml:space="preserve"> gap and the gender pay gap have seen small reductions, with the mean ethnicity pay gap reducing by 2.5 percentage points (from 12.0% in 2023 to 9.5% in 2024) and the mean gender pay gap reducing by 0.7 percentage points (from 19.2% in 2023 to 18.5% in 2024).</w:t>
      </w:r>
    </w:p>
    <w:p w14:paraId="4F561EE2" w14:textId="77777777" w:rsidR="00C64C51" w:rsidRPr="00A51C7F" w:rsidRDefault="00C64C51" w:rsidP="00C64C51">
      <w:pPr>
        <w:pStyle w:val="ListParagraph"/>
        <w:numPr>
          <w:ilvl w:val="0"/>
          <w:numId w:val="2"/>
        </w:numPr>
        <w:spacing w:before="0"/>
        <w:ind w:left="1134" w:right="237"/>
        <w:rPr>
          <w:sz w:val="24"/>
          <w:szCs w:val="24"/>
        </w:rPr>
      </w:pPr>
      <w:r w:rsidRPr="00A51C7F">
        <w:rPr>
          <w:sz w:val="24"/>
          <w:szCs w:val="24"/>
        </w:rPr>
        <w:t xml:space="preserve">This amounts to a total movement of 10.9 percentage points across the 4 mean pay gaps, with 2.3 of this being favourable (decreasing pay gaps) and 7.7 being unfavorable (increasing pay gaps). </w:t>
      </w:r>
    </w:p>
    <w:p w14:paraId="52E67D42" w14:textId="77777777" w:rsidR="00AD3846" w:rsidRPr="00A51C7F" w:rsidRDefault="00AD3846" w:rsidP="00AD3846">
      <w:pPr>
        <w:ind w:right="237"/>
        <w:rPr>
          <w:i/>
          <w:iCs/>
          <w:sz w:val="24"/>
          <w:szCs w:val="24"/>
        </w:rPr>
      </w:pPr>
    </w:p>
    <w:p w14:paraId="11E3F4D8" w14:textId="77777777" w:rsidR="00061C3D" w:rsidRDefault="00061C3D" w:rsidP="00AD3846">
      <w:pPr>
        <w:ind w:right="237"/>
        <w:rPr>
          <w:i/>
          <w:iCs/>
          <w:sz w:val="20"/>
          <w:szCs w:val="20"/>
        </w:rPr>
      </w:pPr>
    </w:p>
    <w:p w14:paraId="294B0CEB" w14:textId="7D1D228D" w:rsidR="00C64C51" w:rsidRDefault="00061C3D" w:rsidP="00AD3846">
      <w:pPr>
        <w:ind w:right="237"/>
        <w:rPr>
          <w:i/>
          <w:iCs/>
          <w:sz w:val="20"/>
          <w:szCs w:val="20"/>
        </w:rPr>
      </w:pPr>
      <w:r>
        <w:rPr>
          <w:i/>
          <w:iCs/>
          <w:sz w:val="20"/>
          <w:szCs w:val="20"/>
        </w:rPr>
        <w:t xml:space="preserve">Table 1: </w:t>
      </w:r>
      <w:r w:rsidR="00C64C51" w:rsidRPr="000E1BCA">
        <w:rPr>
          <w:i/>
          <w:iCs/>
          <w:sz w:val="20"/>
          <w:szCs w:val="20"/>
        </w:rPr>
        <w:t>UoL Pay Gaps 2024 (</w:t>
      </w:r>
      <w:r w:rsidR="00C64C51">
        <w:rPr>
          <w:i/>
          <w:iCs/>
          <w:sz w:val="20"/>
          <w:szCs w:val="20"/>
        </w:rPr>
        <w:t>with</w:t>
      </w:r>
      <w:r w:rsidR="00C64C51" w:rsidRPr="000E1BCA">
        <w:rPr>
          <w:i/>
          <w:iCs/>
          <w:sz w:val="20"/>
          <w:szCs w:val="20"/>
        </w:rPr>
        <w:t xml:space="preserve"> 2023-24 movement)</w:t>
      </w:r>
    </w:p>
    <w:p w14:paraId="61C378F3" w14:textId="77777777" w:rsidR="00B300E8" w:rsidRPr="00B300E8" w:rsidRDefault="00B300E8" w:rsidP="00AD3846">
      <w:pPr>
        <w:ind w:right="237"/>
        <w:rPr>
          <w:sz w:val="20"/>
          <w:szCs w:val="20"/>
        </w:rPr>
      </w:pPr>
    </w:p>
    <w:tbl>
      <w:tblPr>
        <w:tblStyle w:val="GridTable4-Accent1"/>
        <w:tblpPr w:leftFromText="180" w:rightFromText="180" w:vertAnchor="text" w:horzAnchor="margin" w:tblpY="446"/>
        <w:tblW w:w="9017" w:type="dxa"/>
        <w:tblLook w:val="04A0" w:firstRow="1" w:lastRow="0" w:firstColumn="1" w:lastColumn="0" w:noHBand="0" w:noVBand="1"/>
      </w:tblPr>
      <w:tblGrid>
        <w:gridCol w:w="2099"/>
        <w:gridCol w:w="1153"/>
        <w:gridCol w:w="1153"/>
        <w:gridCol w:w="1153"/>
        <w:gridCol w:w="1153"/>
        <w:gridCol w:w="1153"/>
        <w:gridCol w:w="1153"/>
      </w:tblGrid>
      <w:tr w:rsidR="00AD3846" w14:paraId="3295FF8C" w14:textId="77777777" w:rsidTr="00D73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shd w:val="clear" w:color="auto" w:fill="B4C6E7" w:themeFill="accent1" w:themeFillTint="66"/>
          </w:tcPr>
          <w:p w14:paraId="0E95F668" w14:textId="77777777" w:rsidR="00AD3846" w:rsidRPr="00CF096D" w:rsidRDefault="00AD3846" w:rsidP="00AD3846">
            <w:bookmarkStart w:id="0" w:name="_Hlk186788349"/>
          </w:p>
        </w:tc>
        <w:tc>
          <w:tcPr>
            <w:tcW w:w="1153" w:type="dxa"/>
            <w:shd w:val="clear" w:color="auto" w:fill="B4C6E7" w:themeFill="accent1" w:themeFillTint="66"/>
            <w:hideMark/>
          </w:tcPr>
          <w:p w14:paraId="4ED637AC" w14:textId="77777777" w:rsidR="0051364A" w:rsidRDefault="00AD3846" w:rsidP="00AD3846">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28CCC0A2">
              <w:rPr>
                <w:color w:val="000000" w:themeColor="text1"/>
                <w:sz w:val="20"/>
                <w:szCs w:val="20"/>
              </w:rPr>
              <w:t xml:space="preserve">Mean </w:t>
            </w:r>
          </w:p>
          <w:p w14:paraId="4F7F051D" w14:textId="77777777" w:rsidR="00AD3846" w:rsidRDefault="00AD3846" w:rsidP="00AD3846">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28CCC0A2">
              <w:rPr>
                <w:color w:val="000000" w:themeColor="text1"/>
                <w:sz w:val="20"/>
                <w:szCs w:val="20"/>
              </w:rPr>
              <w:t>2024</w:t>
            </w:r>
          </w:p>
          <w:p w14:paraId="2A1AA828" w14:textId="1CF3C952" w:rsidR="00D735A9" w:rsidRPr="00CF096D" w:rsidRDefault="00D735A9" w:rsidP="00AD384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1153" w:type="dxa"/>
            <w:shd w:val="clear" w:color="auto" w:fill="B4C6E7" w:themeFill="accent1" w:themeFillTint="66"/>
            <w:hideMark/>
          </w:tcPr>
          <w:p w14:paraId="5BB1DF18" w14:textId="77777777" w:rsidR="00AD3846" w:rsidRPr="00CF096D" w:rsidRDefault="00AD3846" w:rsidP="00AD3846">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28CCC0A2">
              <w:rPr>
                <w:color w:val="000000" w:themeColor="text1"/>
                <w:sz w:val="20"/>
                <w:szCs w:val="20"/>
              </w:rPr>
              <w:t>Movement from 2023</w:t>
            </w:r>
          </w:p>
        </w:tc>
        <w:tc>
          <w:tcPr>
            <w:tcW w:w="1153" w:type="dxa"/>
            <w:shd w:val="clear" w:color="auto" w:fill="B4C6E7" w:themeFill="accent1" w:themeFillTint="66"/>
            <w:hideMark/>
          </w:tcPr>
          <w:p w14:paraId="51C89062" w14:textId="77777777" w:rsidR="00AD3846" w:rsidRPr="00CF096D" w:rsidRDefault="00AD3846" w:rsidP="00AD3846">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28CCC0A2">
              <w:rPr>
                <w:color w:val="000000" w:themeColor="text1"/>
                <w:sz w:val="20"/>
                <w:szCs w:val="20"/>
              </w:rPr>
              <w:t>Mean 2023</w:t>
            </w:r>
          </w:p>
        </w:tc>
        <w:tc>
          <w:tcPr>
            <w:tcW w:w="1153" w:type="dxa"/>
            <w:shd w:val="clear" w:color="auto" w:fill="B4C6E7" w:themeFill="accent1" w:themeFillTint="66"/>
            <w:hideMark/>
          </w:tcPr>
          <w:p w14:paraId="1657D253" w14:textId="77777777" w:rsidR="00AD3846" w:rsidRPr="00CF096D" w:rsidRDefault="00AD3846" w:rsidP="00AD384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28CCC0A2">
              <w:rPr>
                <w:color w:val="000000" w:themeColor="text1"/>
                <w:sz w:val="20"/>
                <w:szCs w:val="20"/>
              </w:rPr>
              <w:t>Median 2024</w:t>
            </w:r>
          </w:p>
        </w:tc>
        <w:tc>
          <w:tcPr>
            <w:tcW w:w="1153" w:type="dxa"/>
            <w:shd w:val="clear" w:color="auto" w:fill="B4C6E7" w:themeFill="accent1" w:themeFillTint="66"/>
            <w:hideMark/>
          </w:tcPr>
          <w:p w14:paraId="422C8202" w14:textId="77777777" w:rsidR="00AD3846" w:rsidRPr="00CF096D" w:rsidRDefault="00AD3846" w:rsidP="00AD3846">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28CCC0A2">
              <w:rPr>
                <w:color w:val="000000" w:themeColor="text1"/>
                <w:sz w:val="20"/>
                <w:szCs w:val="20"/>
              </w:rPr>
              <w:t>Movement from 2023</w:t>
            </w:r>
          </w:p>
        </w:tc>
        <w:tc>
          <w:tcPr>
            <w:tcW w:w="1153" w:type="dxa"/>
            <w:shd w:val="clear" w:color="auto" w:fill="B4C6E7" w:themeFill="accent1" w:themeFillTint="66"/>
            <w:hideMark/>
          </w:tcPr>
          <w:p w14:paraId="408467FC" w14:textId="77777777" w:rsidR="00AD3846" w:rsidRPr="00CF096D" w:rsidRDefault="00AD3846" w:rsidP="00AD3846">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28CCC0A2">
              <w:rPr>
                <w:color w:val="000000" w:themeColor="text1"/>
                <w:sz w:val="20"/>
                <w:szCs w:val="20"/>
              </w:rPr>
              <w:t>Median 2023</w:t>
            </w:r>
          </w:p>
        </w:tc>
      </w:tr>
      <w:tr w:rsidR="00AD3846" w14:paraId="0212A68C" w14:textId="77777777" w:rsidTr="00D735A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9" w:type="dxa"/>
            <w:shd w:val="clear" w:color="auto" w:fill="FFFFFF" w:themeFill="background1"/>
            <w:hideMark/>
          </w:tcPr>
          <w:p w14:paraId="3F795EE6" w14:textId="77777777" w:rsidR="00AD3846" w:rsidRPr="00CF096D" w:rsidRDefault="00AD3846" w:rsidP="00AD3846">
            <w:r w:rsidRPr="00CF096D">
              <w:rPr>
                <w:color w:val="000000"/>
              </w:rPr>
              <w:t>Disability</w:t>
            </w:r>
          </w:p>
        </w:tc>
        <w:tc>
          <w:tcPr>
            <w:tcW w:w="1153" w:type="dxa"/>
            <w:hideMark/>
          </w:tcPr>
          <w:p w14:paraId="2E3A6A82"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rPr>
                <w:b/>
                <w:bCs/>
              </w:rPr>
            </w:pPr>
            <w:r w:rsidRPr="00CF096D">
              <w:rPr>
                <w:b/>
                <w:bCs/>
              </w:rPr>
              <w:t>14.8%</w:t>
            </w:r>
          </w:p>
        </w:tc>
        <w:tc>
          <w:tcPr>
            <w:tcW w:w="1153" w:type="dxa"/>
            <w:shd w:val="clear" w:color="auto" w:fill="FFFFFF" w:themeFill="background1"/>
          </w:tcPr>
          <w:p w14:paraId="1214C59C" w14:textId="77777777" w:rsidR="00AD3846" w:rsidRPr="00B300E8" w:rsidRDefault="00AD3846" w:rsidP="00AD3846">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064CE0">
              <w:rPr>
                <w:b/>
                <w:bCs/>
                <w:color w:val="C00000"/>
              </w:rPr>
              <w:t>+5.6</w:t>
            </w:r>
          </w:p>
        </w:tc>
        <w:tc>
          <w:tcPr>
            <w:tcW w:w="1153" w:type="dxa"/>
            <w:shd w:val="clear" w:color="auto" w:fill="FFFFFF" w:themeFill="background1"/>
            <w:hideMark/>
          </w:tcPr>
          <w:p w14:paraId="41EDB6FB"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pPr>
            <w:r w:rsidRPr="00CF096D">
              <w:t>9.2%</w:t>
            </w:r>
          </w:p>
        </w:tc>
        <w:tc>
          <w:tcPr>
            <w:tcW w:w="1153" w:type="dxa"/>
            <w:hideMark/>
          </w:tcPr>
          <w:p w14:paraId="579195B2"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rPr>
                <w:b/>
                <w:bCs/>
              </w:rPr>
            </w:pPr>
            <w:r w:rsidRPr="00CF096D">
              <w:rPr>
                <w:b/>
                <w:bCs/>
              </w:rPr>
              <w:t>19.2%</w:t>
            </w:r>
          </w:p>
        </w:tc>
        <w:tc>
          <w:tcPr>
            <w:tcW w:w="1153" w:type="dxa"/>
            <w:shd w:val="clear" w:color="auto" w:fill="FFFFFF" w:themeFill="background1"/>
            <w:hideMark/>
          </w:tcPr>
          <w:p w14:paraId="0728B7B1" w14:textId="77777777" w:rsidR="00AD3846" w:rsidRPr="00F16464" w:rsidRDefault="00AD3846" w:rsidP="00AD3846">
            <w:pPr>
              <w:jc w:val="center"/>
              <w:cnfStyle w:val="000000100000" w:firstRow="0" w:lastRow="0" w:firstColumn="0" w:lastColumn="0" w:oddVBand="0" w:evenVBand="0" w:oddHBand="1" w:evenHBand="0" w:firstRowFirstColumn="0" w:firstRowLastColumn="0" w:lastRowFirstColumn="0" w:lastRowLastColumn="0"/>
              <w:rPr>
                <w:b/>
                <w:bCs/>
              </w:rPr>
            </w:pPr>
            <w:r w:rsidRPr="00F16464">
              <w:rPr>
                <w:b/>
                <w:bCs/>
                <w:color w:val="538135" w:themeColor="accent6" w:themeShade="BF"/>
              </w:rPr>
              <w:t>-0.3</w:t>
            </w:r>
          </w:p>
        </w:tc>
        <w:tc>
          <w:tcPr>
            <w:tcW w:w="1153" w:type="dxa"/>
            <w:shd w:val="clear" w:color="auto" w:fill="FFFFFF" w:themeFill="background1"/>
            <w:hideMark/>
          </w:tcPr>
          <w:p w14:paraId="401BB59A"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pPr>
            <w:r w:rsidRPr="00CF096D">
              <w:t>19.5%</w:t>
            </w:r>
          </w:p>
        </w:tc>
      </w:tr>
      <w:tr w:rsidR="00AD3846" w14:paraId="74E28717" w14:textId="77777777" w:rsidTr="00D735A9">
        <w:tc>
          <w:tcPr>
            <w:cnfStyle w:val="001000000000" w:firstRow="0" w:lastRow="0" w:firstColumn="1" w:lastColumn="0" w:oddVBand="0" w:evenVBand="0" w:oddHBand="0" w:evenHBand="0" w:firstRowFirstColumn="0" w:firstRowLastColumn="0" w:lastRowFirstColumn="0" w:lastRowLastColumn="0"/>
            <w:tcW w:w="2099" w:type="dxa"/>
            <w:hideMark/>
          </w:tcPr>
          <w:p w14:paraId="208BF4EB" w14:textId="77777777" w:rsidR="00AD3846" w:rsidRPr="00CF096D" w:rsidRDefault="00AD3846" w:rsidP="00AD3846">
            <w:r w:rsidRPr="00CF096D">
              <w:rPr>
                <w:color w:val="000000"/>
              </w:rPr>
              <w:t>Ethnicity</w:t>
            </w:r>
          </w:p>
        </w:tc>
        <w:tc>
          <w:tcPr>
            <w:tcW w:w="1153" w:type="dxa"/>
            <w:shd w:val="clear" w:color="auto" w:fill="D9E2F3" w:themeFill="accent1" w:themeFillTint="33"/>
            <w:hideMark/>
          </w:tcPr>
          <w:p w14:paraId="343FADB8"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rPr>
                <w:b/>
                <w:bCs/>
              </w:rPr>
            </w:pPr>
            <w:r w:rsidRPr="00CF096D">
              <w:rPr>
                <w:b/>
                <w:bCs/>
              </w:rPr>
              <w:t>9.5%</w:t>
            </w:r>
          </w:p>
        </w:tc>
        <w:tc>
          <w:tcPr>
            <w:tcW w:w="1153" w:type="dxa"/>
          </w:tcPr>
          <w:p w14:paraId="09F84E3A" w14:textId="77777777" w:rsidR="00AD3846" w:rsidRPr="00F16464" w:rsidRDefault="00AD3846" w:rsidP="00AD3846">
            <w:pPr>
              <w:jc w:val="center"/>
              <w:cnfStyle w:val="000000000000" w:firstRow="0" w:lastRow="0" w:firstColumn="0" w:lastColumn="0" w:oddVBand="0" w:evenVBand="0" w:oddHBand="0" w:evenHBand="0" w:firstRowFirstColumn="0" w:firstRowLastColumn="0" w:lastRowFirstColumn="0" w:lastRowLastColumn="0"/>
              <w:rPr>
                <w:b/>
                <w:bCs/>
                <w:color w:val="538135" w:themeColor="accent6" w:themeShade="BF"/>
              </w:rPr>
            </w:pPr>
            <w:r w:rsidRPr="00F16464">
              <w:rPr>
                <w:b/>
                <w:bCs/>
                <w:color w:val="538135" w:themeColor="accent6" w:themeShade="BF"/>
              </w:rPr>
              <w:t>-2.5</w:t>
            </w:r>
          </w:p>
        </w:tc>
        <w:tc>
          <w:tcPr>
            <w:tcW w:w="1153" w:type="dxa"/>
            <w:hideMark/>
          </w:tcPr>
          <w:p w14:paraId="15DDCD81"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pPr>
            <w:r w:rsidRPr="00CF096D">
              <w:t>12.0%</w:t>
            </w:r>
          </w:p>
        </w:tc>
        <w:tc>
          <w:tcPr>
            <w:tcW w:w="1153" w:type="dxa"/>
            <w:shd w:val="clear" w:color="auto" w:fill="D9E2F3" w:themeFill="accent1" w:themeFillTint="33"/>
            <w:hideMark/>
          </w:tcPr>
          <w:p w14:paraId="79219DCF"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rPr>
                <w:b/>
                <w:bCs/>
              </w:rPr>
            </w:pPr>
            <w:r w:rsidRPr="00CF096D">
              <w:rPr>
                <w:b/>
                <w:bCs/>
              </w:rPr>
              <w:t>14.3%</w:t>
            </w:r>
          </w:p>
        </w:tc>
        <w:tc>
          <w:tcPr>
            <w:tcW w:w="1153" w:type="dxa"/>
            <w:hideMark/>
          </w:tcPr>
          <w:p w14:paraId="19B00723" w14:textId="77777777" w:rsidR="00AD3846" w:rsidRPr="00064CE0" w:rsidRDefault="00AD3846" w:rsidP="00AD3846">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064CE0">
              <w:rPr>
                <w:b/>
                <w:bCs/>
                <w:color w:val="C00000"/>
              </w:rPr>
              <w:t>+1.0</w:t>
            </w:r>
          </w:p>
        </w:tc>
        <w:tc>
          <w:tcPr>
            <w:tcW w:w="1153" w:type="dxa"/>
            <w:hideMark/>
          </w:tcPr>
          <w:p w14:paraId="110E83CA"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pPr>
            <w:r w:rsidRPr="00CF096D">
              <w:t>13.3%</w:t>
            </w:r>
          </w:p>
        </w:tc>
      </w:tr>
      <w:tr w:rsidR="00AD3846" w14:paraId="1D50E7DF" w14:textId="77777777" w:rsidTr="00D7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shd w:val="clear" w:color="auto" w:fill="FFFFFF" w:themeFill="background1"/>
            <w:hideMark/>
          </w:tcPr>
          <w:p w14:paraId="31656BBA" w14:textId="77777777" w:rsidR="00AD3846" w:rsidRPr="00CF096D" w:rsidRDefault="00AD3846" w:rsidP="00AD3846">
            <w:r w:rsidRPr="00CF096D">
              <w:rPr>
                <w:color w:val="000000"/>
              </w:rPr>
              <w:t>Gender</w:t>
            </w:r>
            <w:r>
              <w:rPr>
                <w:color w:val="000000"/>
              </w:rPr>
              <w:t xml:space="preserve"> </w:t>
            </w:r>
            <w:r w:rsidRPr="00CF096D">
              <w:rPr>
                <w:color w:val="000000"/>
              </w:rPr>
              <w:t>(mandatory)</w:t>
            </w:r>
          </w:p>
        </w:tc>
        <w:tc>
          <w:tcPr>
            <w:tcW w:w="1153" w:type="dxa"/>
            <w:hideMark/>
          </w:tcPr>
          <w:p w14:paraId="1AE2877A"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rPr>
                <w:b/>
                <w:bCs/>
              </w:rPr>
            </w:pPr>
            <w:r w:rsidRPr="00CF096D">
              <w:rPr>
                <w:b/>
                <w:bCs/>
              </w:rPr>
              <w:t>18.5%</w:t>
            </w:r>
          </w:p>
        </w:tc>
        <w:tc>
          <w:tcPr>
            <w:tcW w:w="1153" w:type="dxa"/>
            <w:shd w:val="clear" w:color="auto" w:fill="FFFFFF" w:themeFill="background1"/>
            <w:hideMark/>
          </w:tcPr>
          <w:p w14:paraId="7F74230A" w14:textId="77777777" w:rsidR="00AD3846" w:rsidRPr="00F16464" w:rsidRDefault="00AD3846" w:rsidP="00AD3846">
            <w:pPr>
              <w:jc w:val="center"/>
              <w:cnfStyle w:val="000000100000" w:firstRow="0" w:lastRow="0" w:firstColumn="0" w:lastColumn="0" w:oddVBand="0" w:evenVBand="0" w:oddHBand="1" w:evenHBand="0" w:firstRowFirstColumn="0" w:firstRowLastColumn="0" w:lastRowFirstColumn="0" w:lastRowLastColumn="0"/>
              <w:rPr>
                <w:b/>
                <w:bCs/>
                <w:color w:val="538135" w:themeColor="accent6" w:themeShade="BF"/>
              </w:rPr>
            </w:pPr>
            <w:r w:rsidRPr="00F16464">
              <w:rPr>
                <w:b/>
                <w:bCs/>
                <w:color w:val="538135" w:themeColor="accent6" w:themeShade="BF"/>
              </w:rPr>
              <w:t>-0.7</w:t>
            </w:r>
          </w:p>
        </w:tc>
        <w:tc>
          <w:tcPr>
            <w:tcW w:w="1153" w:type="dxa"/>
            <w:shd w:val="clear" w:color="auto" w:fill="FFFFFF" w:themeFill="background1"/>
            <w:hideMark/>
          </w:tcPr>
          <w:p w14:paraId="25714107"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pPr>
            <w:r w:rsidRPr="00CF096D">
              <w:t>19.2%</w:t>
            </w:r>
          </w:p>
        </w:tc>
        <w:tc>
          <w:tcPr>
            <w:tcW w:w="1153" w:type="dxa"/>
            <w:hideMark/>
          </w:tcPr>
          <w:p w14:paraId="04D86FE8"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rPr>
                <w:b/>
                <w:bCs/>
              </w:rPr>
            </w:pPr>
            <w:r w:rsidRPr="00CF096D">
              <w:rPr>
                <w:b/>
                <w:bCs/>
              </w:rPr>
              <w:t>18.1%</w:t>
            </w:r>
          </w:p>
        </w:tc>
        <w:tc>
          <w:tcPr>
            <w:tcW w:w="1153" w:type="dxa"/>
            <w:shd w:val="clear" w:color="auto" w:fill="FFFFFF" w:themeFill="background1"/>
            <w:hideMark/>
          </w:tcPr>
          <w:p w14:paraId="7E49B9E5" w14:textId="77777777" w:rsidR="00AD3846" w:rsidRPr="00064CE0" w:rsidRDefault="00AD3846" w:rsidP="00AD3846">
            <w:pPr>
              <w:jc w:val="center"/>
              <w:cnfStyle w:val="000000100000" w:firstRow="0" w:lastRow="0" w:firstColumn="0" w:lastColumn="0" w:oddVBand="0" w:evenVBand="0" w:oddHBand="1" w:evenHBand="0" w:firstRowFirstColumn="0" w:firstRowLastColumn="0" w:lastRowFirstColumn="0" w:lastRowLastColumn="0"/>
              <w:rPr>
                <w:b/>
                <w:bCs/>
                <w:color w:val="C00000"/>
              </w:rPr>
            </w:pPr>
            <w:r w:rsidRPr="00064CE0">
              <w:rPr>
                <w:b/>
                <w:bCs/>
                <w:color w:val="C00000"/>
              </w:rPr>
              <w:t>+0.2</w:t>
            </w:r>
          </w:p>
        </w:tc>
        <w:tc>
          <w:tcPr>
            <w:tcW w:w="1153" w:type="dxa"/>
            <w:shd w:val="clear" w:color="auto" w:fill="FFFFFF" w:themeFill="background1"/>
            <w:hideMark/>
          </w:tcPr>
          <w:p w14:paraId="6D6D833F" w14:textId="77777777" w:rsidR="00AD3846" w:rsidRPr="00CF096D" w:rsidRDefault="00AD3846" w:rsidP="00AD3846">
            <w:pPr>
              <w:jc w:val="center"/>
              <w:cnfStyle w:val="000000100000" w:firstRow="0" w:lastRow="0" w:firstColumn="0" w:lastColumn="0" w:oddVBand="0" w:evenVBand="0" w:oddHBand="1" w:evenHBand="0" w:firstRowFirstColumn="0" w:firstRowLastColumn="0" w:lastRowFirstColumn="0" w:lastRowLastColumn="0"/>
            </w:pPr>
            <w:r w:rsidRPr="00CF096D">
              <w:t>17.9%</w:t>
            </w:r>
          </w:p>
        </w:tc>
      </w:tr>
      <w:tr w:rsidR="00AD3846" w14:paraId="3B79CA1E" w14:textId="77777777" w:rsidTr="00D735A9">
        <w:tc>
          <w:tcPr>
            <w:cnfStyle w:val="001000000000" w:firstRow="0" w:lastRow="0" w:firstColumn="1" w:lastColumn="0" w:oddVBand="0" w:evenVBand="0" w:oddHBand="0" w:evenHBand="0" w:firstRowFirstColumn="0" w:firstRowLastColumn="0" w:lastRowFirstColumn="0" w:lastRowLastColumn="0"/>
            <w:tcW w:w="2099" w:type="dxa"/>
            <w:hideMark/>
          </w:tcPr>
          <w:p w14:paraId="43DC23B6" w14:textId="77777777" w:rsidR="00AD3846" w:rsidRPr="00CF096D" w:rsidRDefault="00AD3846" w:rsidP="00AD3846">
            <w:r w:rsidRPr="00CF096D">
              <w:rPr>
                <w:color w:val="000000"/>
              </w:rPr>
              <w:t>Sexual orientation</w:t>
            </w:r>
          </w:p>
        </w:tc>
        <w:tc>
          <w:tcPr>
            <w:tcW w:w="1153" w:type="dxa"/>
            <w:shd w:val="clear" w:color="auto" w:fill="D9E2F3" w:themeFill="accent1" w:themeFillTint="33"/>
            <w:hideMark/>
          </w:tcPr>
          <w:p w14:paraId="6F52E4D1"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rPr>
                <w:b/>
                <w:bCs/>
              </w:rPr>
            </w:pPr>
            <w:r w:rsidRPr="00CF096D">
              <w:rPr>
                <w:b/>
                <w:bCs/>
              </w:rPr>
              <w:t>14.5%</w:t>
            </w:r>
          </w:p>
        </w:tc>
        <w:tc>
          <w:tcPr>
            <w:tcW w:w="1153" w:type="dxa"/>
            <w:hideMark/>
          </w:tcPr>
          <w:p w14:paraId="5A210EC0" w14:textId="77777777" w:rsidR="00AD3846" w:rsidRPr="00F16464" w:rsidRDefault="00AD3846" w:rsidP="00AD3846">
            <w:pPr>
              <w:jc w:val="center"/>
              <w:cnfStyle w:val="000000000000" w:firstRow="0" w:lastRow="0" w:firstColumn="0" w:lastColumn="0" w:oddVBand="0" w:evenVBand="0" w:oddHBand="0" w:evenHBand="0" w:firstRowFirstColumn="0" w:firstRowLastColumn="0" w:lastRowFirstColumn="0" w:lastRowLastColumn="0"/>
              <w:rPr>
                <w:b/>
                <w:bCs/>
              </w:rPr>
            </w:pPr>
            <w:r w:rsidRPr="00064CE0">
              <w:rPr>
                <w:b/>
                <w:bCs/>
                <w:color w:val="C00000"/>
              </w:rPr>
              <w:t>+2.1</w:t>
            </w:r>
          </w:p>
        </w:tc>
        <w:tc>
          <w:tcPr>
            <w:tcW w:w="1153" w:type="dxa"/>
            <w:hideMark/>
          </w:tcPr>
          <w:p w14:paraId="413FBA16"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pPr>
            <w:r w:rsidRPr="00CF096D">
              <w:t>12.4%</w:t>
            </w:r>
          </w:p>
        </w:tc>
        <w:tc>
          <w:tcPr>
            <w:tcW w:w="1153" w:type="dxa"/>
            <w:shd w:val="clear" w:color="auto" w:fill="D9E2F3" w:themeFill="accent1" w:themeFillTint="33"/>
            <w:hideMark/>
          </w:tcPr>
          <w:p w14:paraId="44D2ABC5"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rPr>
                <w:b/>
                <w:bCs/>
              </w:rPr>
            </w:pPr>
            <w:r w:rsidRPr="00CF096D">
              <w:rPr>
                <w:b/>
                <w:bCs/>
              </w:rPr>
              <w:t>17.1%</w:t>
            </w:r>
          </w:p>
        </w:tc>
        <w:tc>
          <w:tcPr>
            <w:tcW w:w="1153" w:type="dxa"/>
            <w:hideMark/>
          </w:tcPr>
          <w:p w14:paraId="61146CDF" w14:textId="77777777" w:rsidR="00AD3846" w:rsidRPr="00064CE0" w:rsidRDefault="00AD3846" w:rsidP="00AD3846">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064CE0">
              <w:rPr>
                <w:b/>
                <w:bCs/>
                <w:color w:val="C00000"/>
              </w:rPr>
              <w:t>+0.2</w:t>
            </w:r>
          </w:p>
        </w:tc>
        <w:tc>
          <w:tcPr>
            <w:tcW w:w="1153" w:type="dxa"/>
            <w:hideMark/>
          </w:tcPr>
          <w:p w14:paraId="67A18BB7" w14:textId="77777777" w:rsidR="00AD3846" w:rsidRPr="00CF096D" w:rsidRDefault="00AD3846" w:rsidP="00AD3846">
            <w:pPr>
              <w:jc w:val="center"/>
              <w:cnfStyle w:val="000000000000" w:firstRow="0" w:lastRow="0" w:firstColumn="0" w:lastColumn="0" w:oddVBand="0" w:evenVBand="0" w:oddHBand="0" w:evenHBand="0" w:firstRowFirstColumn="0" w:firstRowLastColumn="0" w:lastRowFirstColumn="0" w:lastRowLastColumn="0"/>
            </w:pPr>
            <w:r w:rsidRPr="00CF096D">
              <w:t>16.9%</w:t>
            </w:r>
          </w:p>
        </w:tc>
      </w:tr>
    </w:tbl>
    <w:bookmarkEnd w:id="0"/>
    <w:p w14:paraId="23256CA7" w14:textId="6282ECF1" w:rsidR="0051364A" w:rsidRPr="00CF096D" w:rsidRDefault="0051364A" w:rsidP="00D735A9">
      <w:pPr>
        <w:shd w:val="clear" w:color="auto" w:fill="FFFFFF" w:themeFill="background1"/>
        <w:jc w:val="center"/>
        <w:cnfStyle w:val="101000000000" w:firstRow="1" w:lastRow="0" w:firstColumn="1" w:lastColumn="0" w:oddVBand="0" w:evenVBand="0" w:oddHBand="0" w:evenHBand="0" w:firstRowFirstColumn="0" w:firstRowLastColumn="0" w:lastRowFirstColumn="0" w:lastRowLastColumn="0"/>
        <w:rPr>
          <w:b/>
          <w:bCs/>
          <w:sz w:val="28"/>
          <w:szCs w:val="28"/>
        </w:rPr>
      </w:pPr>
      <w:proofErr w:type="spellStart"/>
      <w:r w:rsidRPr="00CF096D">
        <w:rPr>
          <w:b/>
          <w:bCs/>
          <w:color w:val="000000"/>
          <w:sz w:val="28"/>
          <w:szCs w:val="28"/>
        </w:rPr>
        <w:t>UoL</w:t>
      </w:r>
      <w:proofErr w:type="spellEnd"/>
      <w:r w:rsidRPr="00CF096D">
        <w:rPr>
          <w:b/>
          <w:bCs/>
          <w:color w:val="000000"/>
          <w:sz w:val="28"/>
          <w:szCs w:val="28"/>
        </w:rPr>
        <w:t xml:space="preserve"> Pay Gaps 2024</w:t>
      </w:r>
      <w:r>
        <w:rPr>
          <w:b/>
          <w:bCs/>
          <w:color w:val="000000"/>
          <w:sz w:val="28"/>
          <w:szCs w:val="28"/>
        </w:rPr>
        <w:t xml:space="preserve"> </w:t>
      </w:r>
      <w:r w:rsidRPr="00CF096D">
        <w:rPr>
          <w:b/>
          <w:bCs/>
          <w:color w:val="000000"/>
          <w:sz w:val="28"/>
          <w:szCs w:val="28"/>
        </w:rPr>
        <w:t>(</w:t>
      </w:r>
      <w:r>
        <w:rPr>
          <w:b/>
          <w:bCs/>
          <w:color w:val="000000"/>
          <w:sz w:val="28"/>
          <w:szCs w:val="28"/>
        </w:rPr>
        <w:t>with</w:t>
      </w:r>
      <w:r w:rsidRPr="00CF096D">
        <w:rPr>
          <w:b/>
          <w:bCs/>
          <w:color w:val="000000"/>
          <w:sz w:val="28"/>
          <w:szCs w:val="28"/>
        </w:rPr>
        <w:t xml:space="preserve"> 2023-24 movement)</w:t>
      </w:r>
    </w:p>
    <w:p w14:paraId="091CD2A4" w14:textId="77777777" w:rsidR="00AD3846" w:rsidRPr="000E1BCA" w:rsidRDefault="00AD3846" w:rsidP="00AD3846">
      <w:pPr>
        <w:ind w:right="237"/>
        <w:rPr>
          <w:i/>
          <w:iCs/>
          <w:sz w:val="20"/>
          <w:szCs w:val="20"/>
        </w:rPr>
      </w:pPr>
    </w:p>
    <w:p w14:paraId="5423F2A4" w14:textId="75F9A878" w:rsidR="00C64C51" w:rsidRDefault="00C64C51" w:rsidP="00C64C51">
      <w:pPr>
        <w:pStyle w:val="ListParagraph"/>
        <w:spacing w:before="0"/>
        <w:ind w:left="720" w:right="237" w:firstLine="0"/>
      </w:pPr>
    </w:p>
    <w:p w14:paraId="05C0FB09" w14:textId="49B9DAA4" w:rsidR="00D735A9" w:rsidRDefault="00D735A9" w:rsidP="00C64C51">
      <w:pPr>
        <w:pStyle w:val="ListParagraph"/>
        <w:spacing w:before="0"/>
        <w:ind w:left="720" w:right="237" w:firstLine="0"/>
      </w:pPr>
    </w:p>
    <w:p w14:paraId="7A05AE79" w14:textId="4703638C" w:rsidR="00D735A9" w:rsidRDefault="00D735A9" w:rsidP="00C64C51">
      <w:pPr>
        <w:pStyle w:val="ListParagraph"/>
        <w:spacing w:before="0"/>
        <w:ind w:left="720" w:right="237" w:firstLine="0"/>
      </w:pPr>
    </w:p>
    <w:p w14:paraId="680EDAFB" w14:textId="77777777" w:rsidR="00D735A9" w:rsidRDefault="00D735A9" w:rsidP="00C64C51">
      <w:pPr>
        <w:pStyle w:val="ListParagraph"/>
        <w:spacing w:before="0"/>
        <w:ind w:left="720" w:right="237" w:firstLine="0"/>
      </w:pPr>
    </w:p>
    <w:p w14:paraId="7255B306" w14:textId="6E803F45" w:rsidR="00061C3D" w:rsidRPr="00AD3846" w:rsidRDefault="00061C3D" w:rsidP="00061C3D">
      <w:pPr>
        <w:pStyle w:val="Heading7"/>
        <w:tabs>
          <w:tab w:val="left" w:pos="1388"/>
          <w:tab w:val="left" w:pos="1389"/>
        </w:tabs>
        <w:spacing w:before="1"/>
        <w:ind w:left="0" w:firstLine="0"/>
        <w:jc w:val="both"/>
        <w:rPr>
          <w:color w:val="C45911" w:themeColor="accent2" w:themeShade="BF"/>
          <w:sz w:val="28"/>
          <w:szCs w:val="28"/>
        </w:rPr>
      </w:pPr>
      <w:r>
        <w:rPr>
          <w:color w:val="C45911" w:themeColor="accent2" w:themeShade="BF"/>
          <w:sz w:val="28"/>
          <w:szCs w:val="28"/>
        </w:rPr>
        <w:lastRenderedPageBreak/>
        <w:t>Gender Pay Gap</w:t>
      </w:r>
    </w:p>
    <w:p w14:paraId="3AC9FF58" w14:textId="77777777" w:rsidR="00061C3D" w:rsidRDefault="00061C3D" w:rsidP="001A67A5">
      <w:pPr>
        <w:spacing w:before="118"/>
        <w:ind w:right="237"/>
      </w:pPr>
    </w:p>
    <w:p w14:paraId="2FA67FF2" w14:textId="49082EA8" w:rsidR="00C64C51" w:rsidRPr="00A51C7F" w:rsidRDefault="00C64C51" w:rsidP="001A67A5">
      <w:pPr>
        <w:spacing w:before="118"/>
        <w:ind w:right="237"/>
        <w:rPr>
          <w:sz w:val="24"/>
          <w:szCs w:val="24"/>
        </w:rPr>
      </w:pPr>
      <w:r w:rsidRPr="00A51C7F">
        <w:rPr>
          <w:sz w:val="24"/>
          <w:szCs w:val="24"/>
        </w:rPr>
        <w:t>The University’s 2024 mean gender pay gap is 18.5%, and the median gender pay gap is 18.1%. Both of these are</w:t>
      </w:r>
      <w:r w:rsidRPr="00A51C7F">
        <w:rPr>
          <w:spacing w:val="-1"/>
          <w:sz w:val="24"/>
          <w:szCs w:val="24"/>
        </w:rPr>
        <w:t xml:space="preserve"> </w:t>
      </w:r>
      <w:r w:rsidRPr="00A51C7F">
        <w:rPr>
          <w:sz w:val="24"/>
          <w:szCs w:val="24"/>
        </w:rPr>
        <w:t>higher</w:t>
      </w:r>
      <w:r w:rsidRPr="00A51C7F">
        <w:rPr>
          <w:spacing w:val="-4"/>
          <w:sz w:val="24"/>
          <w:szCs w:val="24"/>
        </w:rPr>
        <w:t xml:space="preserve"> </w:t>
      </w:r>
      <w:r w:rsidRPr="00A51C7F">
        <w:rPr>
          <w:sz w:val="24"/>
          <w:szCs w:val="24"/>
        </w:rPr>
        <w:t>than</w:t>
      </w:r>
      <w:r w:rsidRPr="00A51C7F">
        <w:rPr>
          <w:spacing w:val="-3"/>
          <w:sz w:val="24"/>
          <w:szCs w:val="24"/>
        </w:rPr>
        <w:t xml:space="preserve"> </w:t>
      </w:r>
      <w:r w:rsidRPr="00A51C7F">
        <w:rPr>
          <w:sz w:val="24"/>
          <w:szCs w:val="24"/>
        </w:rPr>
        <w:t>the</w:t>
      </w:r>
      <w:r w:rsidRPr="00A51C7F">
        <w:rPr>
          <w:spacing w:val="-1"/>
          <w:sz w:val="24"/>
          <w:szCs w:val="24"/>
        </w:rPr>
        <w:t xml:space="preserve"> </w:t>
      </w:r>
      <w:r w:rsidRPr="00A51C7F">
        <w:rPr>
          <w:sz w:val="24"/>
          <w:szCs w:val="24"/>
        </w:rPr>
        <w:t>higher</w:t>
      </w:r>
      <w:r w:rsidRPr="00A51C7F">
        <w:rPr>
          <w:spacing w:val="-4"/>
          <w:sz w:val="24"/>
          <w:szCs w:val="24"/>
        </w:rPr>
        <w:t xml:space="preserve"> </w:t>
      </w:r>
      <w:r w:rsidRPr="00A51C7F">
        <w:rPr>
          <w:sz w:val="24"/>
          <w:szCs w:val="24"/>
        </w:rPr>
        <w:t>education</w:t>
      </w:r>
      <w:r w:rsidRPr="00A51C7F">
        <w:rPr>
          <w:spacing w:val="-5"/>
          <w:sz w:val="24"/>
          <w:szCs w:val="24"/>
        </w:rPr>
        <w:t xml:space="preserve"> </w:t>
      </w:r>
      <w:r w:rsidRPr="00A51C7F">
        <w:rPr>
          <w:sz w:val="24"/>
          <w:szCs w:val="24"/>
        </w:rPr>
        <w:t>sector</w:t>
      </w:r>
      <w:r w:rsidRPr="00A51C7F">
        <w:rPr>
          <w:spacing w:val="-2"/>
          <w:sz w:val="24"/>
          <w:szCs w:val="24"/>
        </w:rPr>
        <w:t xml:space="preserve"> </w:t>
      </w:r>
      <w:r w:rsidRPr="00A51C7F">
        <w:rPr>
          <w:sz w:val="24"/>
          <w:szCs w:val="24"/>
        </w:rPr>
        <w:t>gender</w:t>
      </w:r>
      <w:r w:rsidRPr="00A51C7F">
        <w:rPr>
          <w:spacing w:val="-2"/>
          <w:sz w:val="24"/>
          <w:szCs w:val="24"/>
        </w:rPr>
        <w:t xml:space="preserve"> </w:t>
      </w:r>
      <w:r w:rsidRPr="00A51C7F">
        <w:rPr>
          <w:sz w:val="24"/>
          <w:szCs w:val="24"/>
        </w:rPr>
        <w:t>pay</w:t>
      </w:r>
      <w:r w:rsidRPr="00A51C7F">
        <w:rPr>
          <w:spacing w:val="-1"/>
          <w:sz w:val="24"/>
          <w:szCs w:val="24"/>
        </w:rPr>
        <w:t xml:space="preserve"> </w:t>
      </w:r>
      <w:r w:rsidRPr="00A51C7F">
        <w:rPr>
          <w:sz w:val="24"/>
          <w:szCs w:val="24"/>
        </w:rPr>
        <w:t>gap</w:t>
      </w:r>
      <w:r w:rsidRPr="00A51C7F">
        <w:rPr>
          <w:spacing w:val="-3"/>
          <w:sz w:val="24"/>
          <w:szCs w:val="24"/>
        </w:rPr>
        <w:t xml:space="preserve"> </w:t>
      </w:r>
      <w:r w:rsidRPr="00A51C7F">
        <w:rPr>
          <w:sz w:val="24"/>
          <w:szCs w:val="24"/>
        </w:rPr>
        <w:t>calculated</w:t>
      </w:r>
      <w:r w:rsidRPr="00A51C7F">
        <w:rPr>
          <w:spacing w:val="-3"/>
          <w:sz w:val="24"/>
          <w:szCs w:val="24"/>
        </w:rPr>
        <w:t xml:space="preserve"> </w:t>
      </w:r>
      <w:r w:rsidRPr="00A51C7F">
        <w:rPr>
          <w:sz w:val="24"/>
          <w:szCs w:val="24"/>
        </w:rPr>
        <w:t>by</w:t>
      </w:r>
      <w:r w:rsidRPr="00A51C7F">
        <w:rPr>
          <w:spacing w:val="-1"/>
          <w:sz w:val="24"/>
          <w:szCs w:val="24"/>
        </w:rPr>
        <w:t xml:space="preserve"> </w:t>
      </w:r>
      <w:r w:rsidRPr="00A51C7F">
        <w:rPr>
          <w:sz w:val="24"/>
          <w:szCs w:val="24"/>
        </w:rPr>
        <w:t>Advance HE, which reports a mean gender pay gap of</w:t>
      </w:r>
      <w:r w:rsidRPr="00A51C7F">
        <w:rPr>
          <w:color w:val="538135" w:themeColor="accent6" w:themeShade="BF"/>
          <w:sz w:val="24"/>
          <w:szCs w:val="24"/>
        </w:rPr>
        <w:t xml:space="preserve"> </w:t>
      </w:r>
      <w:r w:rsidRPr="00A51C7F">
        <w:rPr>
          <w:sz w:val="24"/>
          <w:szCs w:val="24"/>
        </w:rPr>
        <w:t>13.7% and a median gender pay gap of 9.0%.</w:t>
      </w:r>
    </w:p>
    <w:p w14:paraId="218742A1" w14:textId="77777777" w:rsidR="00C64C51" w:rsidRDefault="00C64C51" w:rsidP="00C64C51">
      <w:pPr>
        <w:spacing w:before="118"/>
        <w:ind w:left="567" w:right="237"/>
      </w:pPr>
      <w:r>
        <w:rPr>
          <w:noProof/>
        </w:rPr>
        <w:drawing>
          <wp:inline distT="0" distB="0" distL="0" distR="0" wp14:anchorId="45F1A268" wp14:editId="61F04892">
            <wp:extent cx="5731510" cy="914400"/>
            <wp:effectExtent l="0" t="0" r="2540" b="0"/>
            <wp:docPr id="1731200643" name="Picture 1731200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643" name="Picture 1731200643">
                      <a:extLst>
                        <a:ext uri="{C183D7F6-B498-43B3-948B-1728B52AA6E4}">
                          <adec:decorative xmlns:adec="http://schemas.microsoft.com/office/drawing/2017/decorative" val="1"/>
                        </a:ext>
                      </a:extLst>
                    </pic:cNvPr>
                    <pic:cNvPicPr/>
                  </pic:nvPicPr>
                  <pic:blipFill>
                    <a:blip r:embed="rId6"/>
                    <a:stretch>
                      <a:fillRect/>
                    </a:stretch>
                  </pic:blipFill>
                  <pic:spPr>
                    <a:xfrm>
                      <a:off x="0" y="0"/>
                      <a:ext cx="5781817" cy="922426"/>
                    </a:xfrm>
                    <a:prstGeom prst="rect">
                      <a:avLst/>
                    </a:prstGeom>
                    <a:solidFill>
                      <a:srgbClr val="FFFFCC"/>
                    </a:solidFill>
                  </pic:spPr>
                </pic:pic>
              </a:graphicData>
            </a:graphic>
          </wp:inline>
        </w:drawing>
      </w:r>
    </w:p>
    <w:p w14:paraId="5D13F18E" w14:textId="29468307" w:rsidR="00C64C51" w:rsidRPr="00A51C7F" w:rsidRDefault="00C64C51" w:rsidP="001A67A5">
      <w:pPr>
        <w:pStyle w:val="ListParagraph"/>
        <w:spacing w:before="118"/>
        <w:ind w:left="0" w:right="238" w:firstLine="0"/>
        <w:rPr>
          <w:sz w:val="24"/>
          <w:szCs w:val="24"/>
        </w:rPr>
      </w:pPr>
      <w:r w:rsidRPr="00A51C7F">
        <w:rPr>
          <w:sz w:val="24"/>
          <w:szCs w:val="24"/>
        </w:rPr>
        <w:t>Since 2017, the University</w:t>
      </w:r>
      <w:r w:rsidRPr="00A51C7F">
        <w:rPr>
          <w:spacing w:val="-3"/>
          <w:sz w:val="24"/>
          <w:szCs w:val="24"/>
        </w:rPr>
        <w:t xml:space="preserve"> </w:t>
      </w:r>
      <w:r w:rsidRPr="00A51C7F">
        <w:rPr>
          <w:sz w:val="24"/>
          <w:szCs w:val="24"/>
        </w:rPr>
        <w:t>of</w:t>
      </w:r>
      <w:r w:rsidRPr="00A51C7F">
        <w:rPr>
          <w:spacing w:val="-2"/>
          <w:sz w:val="24"/>
          <w:szCs w:val="24"/>
        </w:rPr>
        <w:t xml:space="preserve"> </w:t>
      </w:r>
      <w:r w:rsidRPr="00A51C7F">
        <w:rPr>
          <w:sz w:val="24"/>
          <w:szCs w:val="24"/>
        </w:rPr>
        <w:t>Leicester</w:t>
      </w:r>
      <w:r w:rsidRPr="00A51C7F">
        <w:rPr>
          <w:spacing w:val="-4"/>
          <w:sz w:val="24"/>
          <w:szCs w:val="24"/>
        </w:rPr>
        <w:t xml:space="preserve"> </w:t>
      </w:r>
      <w:r w:rsidRPr="00A51C7F">
        <w:rPr>
          <w:sz w:val="24"/>
          <w:szCs w:val="24"/>
        </w:rPr>
        <w:t>has</w:t>
      </w:r>
      <w:r w:rsidRPr="00A51C7F">
        <w:rPr>
          <w:spacing w:val="-2"/>
          <w:sz w:val="24"/>
          <w:szCs w:val="24"/>
        </w:rPr>
        <w:t xml:space="preserve"> </w:t>
      </w:r>
      <w:r w:rsidRPr="00A51C7F">
        <w:rPr>
          <w:sz w:val="24"/>
          <w:szCs w:val="24"/>
        </w:rPr>
        <w:t>seen</w:t>
      </w:r>
      <w:r w:rsidRPr="00A51C7F">
        <w:rPr>
          <w:spacing w:val="-3"/>
          <w:sz w:val="24"/>
          <w:szCs w:val="24"/>
        </w:rPr>
        <w:t xml:space="preserve"> </w:t>
      </w:r>
      <w:r w:rsidRPr="00A51C7F">
        <w:rPr>
          <w:sz w:val="24"/>
          <w:szCs w:val="24"/>
        </w:rPr>
        <w:t>an</w:t>
      </w:r>
      <w:r w:rsidRPr="00A51C7F">
        <w:rPr>
          <w:spacing w:val="-5"/>
          <w:sz w:val="24"/>
          <w:szCs w:val="24"/>
        </w:rPr>
        <w:t xml:space="preserve"> </w:t>
      </w:r>
      <w:r w:rsidRPr="00A51C7F">
        <w:rPr>
          <w:sz w:val="24"/>
          <w:szCs w:val="24"/>
        </w:rPr>
        <w:t>overall</w:t>
      </w:r>
      <w:r w:rsidRPr="00A51C7F">
        <w:rPr>
          <w:spacing w:val="-2"/>
          <w:sz w:val="24"/>
          <w:szCs w:val="24"/>
        </w:rPr>
        <w:t xml:space="preserve"> </w:t>
      </w:r>
      <w:r w:rsidRPr="00A51C7F">
        <w:rPr>
          <w:sz w:val="24"/>
          <w:szCs w:val="24"/>
        </w:rPr>
        <w:t>reduction</w:t>
      </w:r>
      <w:r w:rsidRPr="00A51C7F">
        <w:rPr>
          <w:spacing w:val="-5"/>
          <w:sz w:val="24"/>
          <w:szCs w:val="24"/>
        </w:rPr>
        <w:t xml:space="preserve"> </w:t>
      </w:r>
      <w:r w:rsidRPr="00A51C7F">
        <w:rPr>
          <w:sz w:val="24"/>
          <w:szCs w:val="24"/>
        </w:rPr>
        <w:t>of</w:t>
      </w:r>
      <w:r w:rsidRPr="00A51C7F">
        <w:rPr>
          <w:spacing w:val="-5"/>
          <w:sz w:val="24"/>
          <w:szCs w:val="24"/>
        </w:rPr>
        <w:t xml:space="preserve"> </w:t>
      </w:r>
      <w:r w:rsidRPr="00A51C7F">
        <w:rPr>
          <w:sz w:val="24"/>
          <w:szCs w:val="24"/>
        </w:rPr>
        <w:t>5.6 percentage</w:t>
      </w:r>
      <w:r w:rsidRPr="00A51C7F">
        <w:rPr>
          <w:spacing w:val="-1"/>
          <w:sz w:val="24"/>
          <w:szCs w:val="24"/>
        </w:rPr>
        <w:t xml:space="preserve"> </w:t>
      </w:r>
      <w:r w:rsidRPr="00A51C7F">
        <w:rPr>
          <w:sz w:val="24"/>
          <w:szCs w:val="24"/>
        </w:rPr>
        <w:t>points</w:t>
      </w:r>
      <w:r w:rsidRPr="00A51C7F">
        <w:rPr>
          <w:spacing w:val="-4"/>
          <w:sz w:val="24"/>
          <w:szCs w:val="24"/>
        </w:rPr>
        <w:t xml:space="preserve"> </w:t>
      </w:r>
      <w:r w:rsidRPr="00A51C7F">
        <w:rPr>
          <w:sz w:val="24"/>
          <w:szCs w:val="24"/>
        </w:rPr>
        <w:t>to its</w:t>
      </w:r>
      <w:r w:rsidR="001A67A5" w:rsidRPr="00A51C7F">
        <w:rPr>
          <w:spacing w:val="-1"/>
          <w:sz w:val="24"/>
          <w:szCs w:val="24"/>
        </w:rPr>
        <w:t xml:space="preserve"> </w:t>
      </w:r>
      <w:r w:rsidRPr="00A51C7F">
        <w:rPr>
          <w:sz w:val="24"/>
          <w:szCs w:val="24"/>
        </w:rPr>
        <w:t>mean</w:t>
      </w:r>
      <w:r w:rsidRPr="00A51C7F">
        <w:rPr>
          <w:spacing w:val="-2"/>
          <w:sz w:val="24"/>
          <w:szCs w:val="24"/>
        </w:rPr>
        <w:t xml:space="preserve"> </w:t>
      </w:r>
      <w:r w:rsidRPr="00A51C7F">
        <w:rPr>
          <w:sz w:val="24"/>
          <w:szCs w:val="24"/>
        </w:rPr>
        <w:t>gender</w:t>
      </w:r>
      <w:r w:rsidRPr="00A51C7F">
        <w:rPr>
          <w:spacing w:val="-3"/>
          <w:sz w:val="24"/>
          <w:szCs w:val="24"/>
        </w:rPr>
        <w:t xml:space="preserve"> </w:t>
      </w:r>
      <w:r w:rsidRPr="00A51C7F">
        <w:rPr>
          <w:sz w:val="24"/>
          <w:szCs w:val="24"/>
        </w:rPr>
        <w:t>pay gap</w:t>
      </w:r>
      <w:r w:rsidRPr="00A51C7F">
        <w:rPr>
          <w:spacing w:val="-2"/>
          <w:sz w:val="24"/>
          <w:szCs w:val="24"/>
        </w:rPr>
        <w:t xml:space="preserve"> </w:t>
      </w:r>
      <w:r w:rsidRPr="00A51C7F">
        <w:rPr>
          <w:sz w:val="24"/>
          <w:szCs w:val="24"/>
        </w:rPr>
        <w:t>and</w:t>
      </w:r>
      <w:r w:rsidRPr="00A51C7F">
        <w:rPr>
          <w:spacing w:val="-2"/>
          <w:sz w:val="24"/>
          <w:szCs w:val="24"/>
        </w:rPr>
        <w:t xml:space="preserve"> </w:t>
      </w:r>
      <w:r w:rsidRPr="00A51C7F">
        <w:rPr>
          <w:sz w:val="24"/>
          <w:szCs w:val="24"/>
        </w:rPr>
        <w:t>an overall</w:t>
      </w:r>
      <w:r w:rsidRPr="00A51C7F">
        <w:rPr>
          <w:spacing w:val="-1"/>
          <w:sz w:val="24"/>
          <w:szCs w:val="24"/>
        </w:rPr>
        <w:t xml:space="preserve"> </w:t>
      </w:r>
      <w:r w:rsidRPr="00A51C7F">
        <w:rPr>
          <w:sz w:val="24"/>
          <w:szCs w:val="24"/>
        </w:rPr>
        <w:t>reduction</w:t>
      </w:r>
      <w:r w:rsidRPr="00A51C7F">
        <w:rPr>
          <w:spacing w:val="-2"/>
          <w:sz w:val="24"/>
          <w:szCs w:val="24"/>
        </w:rPr>
        <w:t xml:space="preserve"> </w:t>
      </w:r>
      <w:r w:rsidRPr="00A51C7F">
        <w:rPr>
          <w:sz w:val="24"/>
          <w:szCs w:val="24"/>
        </w:rPr>
        <w:t>of</w:t>
      </w:r>
      <w:r w:rsidRPr="00A51C7F">
        <w:rPr>
          <w:spacing w:val="-3"/>
          <w:sz w:val="24"/>
          <w:szCs w:val="24"/>
        </w:rPr>
        <w:t xml:space="preserve"> </w:t>
      </w:r>
      <w:r w:rsidRPr="00A51C7F">
        <w:rPr>
          <w:sz w:val="24"/>
          <w:szCs w:val="24"/>
        </w:rPr>
        <w:t>4.6 percentage points</w:t>
      </w:r>
      <w:r w:rsidRPr="00A51C7F">
        <w:rPr>
          <w:b/>
          <w:bCs/>
          <w:spacing w:val="-3"/>
          <w:sz w:val="24"/>
          <w:szCs w:val="24"/>
        </w:rPr>
        <w:t xml:space="preserve"> </w:t>
      </w:r>
      <w:r w:rsidRPr="00A51C7F">
        <w:rPr>
          <w:sz w:val="24"/>
          <w:szCs w:val="24"/>
        </w:rPr>
        <w:t>to its</w:t>
      </w:r>
      <w:r w:rsidRPr="00A51C7F">
        <w:rPr>
          <w:spacing w:val="-3"/>
          <w:sz w:val="24"/>
          <w:szCs w:val="24"/>
        </w:rPr>
        <w:t xml:space="preserve"> </w:t>
      </w:r>
      <w:r w:rsidRPr="00A51C7F">
        <w:rPr>
          <w:sz w:val="24"/>
          <w:szCs w:val="24"/>
        </w:rPr>
        <w:t>median</w:t>
      </w:r>
      <w:r w:rsidRPr="00A51C7F">
        <w:rPr>
          <w:spacing w:val="-4"/>
          <w:sz w:val="24"/>
          <w:szCs w:val="24"/>
        </w:rPr>
        <w:t xml:space="preserve"> </w:t>
      </w:r>
      <w:r w:rsidRPr="00A51C7F">
        <w:rPr>
          <w:sz w:val="24"/>
          <w:szCs w:val="24"/>
        </w:rPr>
        <w:t>gender</w:t>
      </w:r>
      <w:r w:rsidRPr="00A51C7F">
        <w:rPr>
          <w:spacing w:val="-1"/>
          <w:sz w:val="24"/>
          <w:szCs w:val="24"/>
        </w:rPr>
        <w:t xml:space="preserve"> </w:t>
      </w:r>
      <w:r w:rsidRPr="00A51C7F">
        <w:rPr>
          <w:sz w:val="24"/>
          <w:szCs w:val="24"/>
        </w:rPr>
        <w:t>pay gap</w:t>
      </w:r>
      <w:r w:rsidRPr="00A51C7F">
        <w:rPr>
          <w:b/>
          <w:bCs/>
          <w:sz w:val="24"/>
          <w:szCs w:val="24"/>
        </w:rPr>
        <w:t xml:space="preserve"> </w:t>
      </w:r>
      <w:r w:rsidRPr="00A51C7F">
        <w:rPr>
          <w:sz w:val="24"/>
          <w:szCs w:val="24"/>
        </w:rPr>
        <w:t>(Table 2).</w:t>
      </w:r>
    </w:p>
    <w:p w14:paraId="6126B0F9" w14:textId="77777777" w:rsidR="00C64C51" w:rsidRDefault="00C64C51" w:rsidP="00C64C51">
      <w:pPr>
        <w:pStyle w:val="ListParagraph"/>
        <w:spacing w:before="118"/>
        <w:ind w:left="709" w:right="237" w:hanging="709"/>
      </w:pPr>
    </w:p>
    <w:p w14:paraId="246018E0" w14:textId="609382B7" w:rsidR="00C64C51" w:rsidRDefault="00061C3D" w:rsidP="00C64C51">
      <w:pPr>
        <w:pStyle w:val="ListParagraph"/>
        <w:spacing w:before="118"/>
        <w:ind w:left="1418" w:right="237" w:hanging="709"/>
        <w:rPr>
          <w:i/>
          <w:iCs/>
          <w:sz w:val="20"/>
          <w:szCs w:val="20"/>
        </w:rPr>
      </w:pPr>
      <w:r>
        <w:rPr>
          <w:i/>
          <w:iCs/>
          <w:sz w:val="20"/>
          <w:szCs w:val="20"/>
        </w:rPr>
        <w:t xml:space="preserve">Table 2: </w:t>
      </w:r>
      <w:r w:rsidR="00C64C51" w:rsidRPr="0DA2ED54">
        <w:rPr>
          <w:i/>
          <w:iCs/>
          <w:sz w:val="20"/>
          <w:szCs w:val="20"/>
        </w:rPr>
        <w:t>University of Leicester Gender Pay Gap 2017-2024</w:t>
      </w:r>
    </w:p>
    <w:p w14:paraId="160A91A1" w14:textId="77777777" w:rsidR="00D65B42" w:rsidRDefault="00D65B42" w:rsidP="00C64C51">
      <w:pPr>
        <w:pStyle w:val="ListParagraph"/>
        <w:spacing w:before="118"/>
        <w:ind w:left="1418" w:right="237" w:hanging="709"/>
        <w:rPr>
          <w:i/>
          <w:iCs/>
          <w:sz w:val="20"/>
          <w:szCs w:val="20"/>
        </w:rPr>
      </w:pPr>
    </w:p>
    <w:tbl>
      <w:tblPr>
        <w:tblStyle w:val="TableGrid"/>
        <w:tblpPr w:leftFromText="180" w:rightFromText="180" w:vertAnchor="text" w:horzAnchor="margin" w:tblpY="530"/>
        <w:tblW w:w="9252" w:type="dxa"/>
        <w:tblLook w:val="04A0" w:firstRow="1" w:lastRow="0" w:firstColumn="1" w:lastColumn="0" w:noHBand="0" w:noVBand="1"/>
      </w:tblPr>
      <w:tblGrid>
        <w:gridCol w:w="1463"/>
        <w:gridCol w:w="950"/>
        <w:gridCol w:w="1485"/>
        <w:gridCol w:w="1444"/>
        <w:gridCol w:w="981"/>
        <w:gridCol w:w="1485"/>
        <w:gridCol w:w="1444"/>
      </w:tblGrid>
      <w:tr w:rsidR="00AD3846" w14:paraId="740DC6D7" w14:textId="77777777" w:rsidTr="00AD3846">
        <w:tc>
          <w:tcPr>
            <w:tcW w:w="1463" w:type="dxa"/>
            <w:shd w:val="clear" w:color="auto" w:fill="EDF0F3"/>
          </w:tcPr>
          <w:p w14:paraId="1868E60E" w14:textId="77777777" w:rsidR="00AD3846" w:rsidRPr="008A26B4" w:rsidRDefault="00AD3846" w:rsidP="00AD3846">
            <w:pPr>
              <w:jc w:val="center"/>
              <w:rPr>
                <w:b/>
                <w:bCs/>
              </w:rPr>
            </w:pPr>
            <w:r>
              <w:rPr>
                <w:b/>
                <w:spacing w:val="-4"/>
                <w:sz w:val="18"/>
              </w:rPr>
              <w:t>Year</w:t>
            </w:r>
          </w:p>
        </w:tc>
        <w:tc>
          <w:tcPr>
            <w:tcW w:w="0" w:type="auto"/>
            <w:shd w:val="clear" w:color="auto" w:fill="EDF0F3"/>
          </w:tcPr>
          <w:p w14:paraId="0B4E6D39" w14:textId="77777777" w:rsidR="00AD3846" w:rsidRPr="008A26B4" w:rsidRDefault="00AD3846" w:rsidP="00AD3846">
            <w:pPr>
              <w:jc w:val="center"/>
              <w:rPr>
                <w:b/>
                <w:bCs/>
              </w:rPr>
            </w:pPr>
            <w:r>
              <w:rPr>
                <w:b/>
                <w:spacing w:val="-4"/>
                <w:sz w:val="18"/>
              </w:rPr>
              <w:t>Mean</w:t>
            </w:r>
            <w:r>
              <w:rPr>
                <w:b/>
                <w:sz w:val="18"/>
              </w:rPr>
              <w:t xml:space="preserve"> Gender</w:t>
            </w:r>
            <w:r>
              <w:rPr>
                <w:b/>
                <w:spacing w:val="-11"/>
                <w:sz w:val="18"/>
              </w:rPr>
              <w:t xml:space="preserve"> </w:t>
            </w:r>
            <w:r>
              <w:rPr>
                <w:b/>
                <w:sz w:val="18"/>
              </w:rPr>
              <w:t xml:space="preserve">Pay </w:t>
            </w:r>
            <w:r>
              <w:rPr>
                <w:b/>
                <w:spacing w:val="-4"/>
                <w:sz w:val="18"/>
              </w:rPr>
              <w:t>Gap</w:t>
            </w:r>
          </w:p>
        </w:tc>
        <w:tc>
          <w:tcPr>
            <w:tcW w:w="0" w:type="auto"/>
            <w:shd w:val="clear" w:color="auto" w:fill="EDF0F3"/>
          </w:tcPr>
          <w:p w14:paraId="5AC0D7C8" w14:textId="77777777" w:rsidR="00AD3846" w:rsidRPr="008A26B4" w:rsidRDefault="00AD3846" w:rsidP="00AD3846">
            <w:pPr>
              <w:jc w:val="center"/>
              <w:rPr>
                <w:b/>
                <w:bCs/>
              </w:rPr>
            </w:pPr>
            <w:r>
              <w:rPr>
                <w:b/>
                <w:spacing w:val="-4"/>
                <w:sz w:val="18"/>
              </w:rPr>
              <w:t>+/-</w:t>
            </w:r>
            <w:r>
              <w:rPr>
                <w:b/>
                <w:sz w:val="18"/>
              </w:rPr>
              <w:t xml:space="preserve"> </w:t>
            </w:r>
            <w:r>
              <w:rPr>
                <w:b/>
                <w:spacing w:val="-2"/>
                <w:sz w:val="18"/>
              </w:rPr>
              <w:t>Movement</w:t>
            </w:r>
            <w:r>
              <w:rPr>
                <w:b/>
                <w:sz w:val="18"/>
              </w:rPr>
              <w:t xml:space="preserve"> for</w:t>
            </w:r>
            <w:r>
              <w:rPr>
                <w:b/>
                <w:spacing w:val="-11"/>
                <w:sz w:val="18"/>
              </w:rPr>
              <w:t xml:space="preserve"> </w:t>
            </w:r>
            <w:r>
              <w:rPr>
                <w:b/>
                <w:sz w:val="18"/>
              </w:rPr>
              <w:t>the</w:t>
            </w:r>
            <w:r>
              <w:rPr>
                <w:b/>
                <w:spacing w:val="-10"/>
                <w:sz w:val="18"/>
              </w:rPr>
              <w:t xml:space="preserve"> </w:t>
            </w:r>
            <w:r>
              <w:rPr>
                <w:b/>
                <w:sz w:val="18"/>
              </w:rPr>
              <w:t xml:space="preserve">Year </w:t>
            </w:r>
            <w:r>
              <w:rPr>
                <w:b/>
                <w:spacing w:val="-6"/>
                <w:sz w:val="18"/>
              </w:rPr>
              <w:t>by</w:t>
            </w:r>
            <w:r>
              <w:rPr>
                <w:b/>
                <w:sz w:val="18"/>
              </w:rPr>
              <w:t xml:space="preserve"> </w:t>
            </w:r>
            <w:r>
              <w:rPr>
                <w:b/>
                <w:spacing w:val="-2"/>
                <w:sz w:val="18"/>
              </w:rPr>
              <w:t>Percentage</w:t>
            </w:r>
            <w:r>
              <w:rPr>
                <w:b/>
                <w:sz w:val="18"/>
              </w:rPr>
              <w:t xml:space="preserve"> </w:t>
            </w:r>
            <w:r>
              <w:rPr>
                <w:b/>
                <w:spacing w:val="-2"/>
                <w:sz w:val="18"/>
              </w:rPr>
              <w:t>Points</w:t>
            </w:r>
          </w:p>
        </w:tc>
        <w:tc>
          <w:tcPr>
            <w:tcW w:w="0" w:type="auto"/>
            <w:shd w:val="clear" w:color="auto" w:fill="EDF0F3"/>
          </w:tcPr>
          <w:p w14:paraId="3322F6B6" w14:textId="77777777" w:rsidR="00AD3846" w:rsidRPr="008A26B4" w:rsidRDefault="00AD3846" w:rsidP="00AD3846">
            <w:pPr>
              <w:jc w:val="center"/>
              <w:rPr>
                <w:b/>
                <w:bCs/>
              </w:rPr>
            </w:pPr>
            <w:r>
              <w:rPr>
                <w:b/>
                <w:sz w:val="18"/>
              </w:rPr>
              <w:t>+/-</w:t>
            </w:r>
            <w:r>
              <w:rPr>
                <w:b/>
                <w:spacing w:val="-11"/>
                <w:sz w:val="18"/>
              </w:rPr>
              <w:t xml:space="preserve"> </w:t>
            </w:r>
            <w:r>
              <w:rPr>
                <w:b/>
                <w:sz w:val="18"/>
              </w:rPr>
              <w:t xml:space="preserve">Movement in Total by </w:t>
            </w:r>
            <w:r>
              <w:rPr>
                <w:b/>
                <w:spacing w:val="-2"/>
                <w:sz w:val="18"/>
              </w:rPr>
              <w:t>Percentage</w:t>
            </w:r>
            <w:r>
              <w:rPr>
                <w:b/>
                <w:sz w:val="18"/>
              </w:rPr>
              <w:t xml:space="preserve"> </w:t>
            </w:r>
            <w:r>
              <w:rPr>
                <w:b/>
                <w:spacing w:val="-2"/>
                <w:sz w:val="18"/>
              </w:rPr>
              <w:t>Points</w:t>
            </w:r>
          </w:p>
        </w:tc>
        <w:tc>
          <w:tcPr>
            <w:tcW w:w="0" w:type="auto"/>
            <w:shd w:val="clear" w:color="auto" w:fill="EDF0F3"/>
          </w:tcPr>
          <w:p w14:paraId="5F5F82E6" w14:textId="77777777" w:rsidR="00AD3846" w:rsidRPr="008A26B4" w:rsidRDefault="00AD3846" w:rsidP="00AD3846">
            <w:pPr>
              <w:jc w:val="center"/>
              <w:rPr>
                <w:b/>
                <w:bCs/>
              </w:rPr>
            </w:pPr>
            <w:r>
              <w:rPr>
                <w:b/>
                <w:spacing w:val="-2"/>
                <w:sz w:val="18"/>
              </w:rPr>
              <w:t>Median</w:t>
            </w:r>
            <w:r>
              <w:rPr>
                <w:b/>
                <w:sz w:val="18"/>
              </w:rPr>
              <w:t xml:space="preserve"> Gender</w:t>
            </w:r>
            <w:r>
              <w:rPr>
                <w:b/>
                <w:spacing w:val="-11"/>
                <w:sz w:val="18"/>
              </w:rPr>
              <w:t xml:space="preserve"> </w:t>
            </w:r>
            <w:r>
              <w:rPr>
                <w:b/>
                <w:sz w:val="18"/>
              </w:rPr>
              <w:t xml:space="preserve">Pay </w:t>
            </w:r>
            <w:r>
              <w:rPr>
                <w:b/>
                <w:spacing w:val="-4"/>
                <w:sz w:val="18"/>
              </w:rPr>
              <w:t>Gap</w:t>
            </w:r>
          </w:p>
        </w:tc>
        <w:tc>
          <w:tcPr>
            <w:tcW w:w="0" w:type="auto"/>
            <w:shd w:val="clear" w:color="auto" w:fill="EDF0F3"/>
          </w:tcPr>
          <w:p w14:paraId="6E2DA923" w14:textId="77777777" w:rsidR="00AD3846" w:rsidRPr="008A26B4" w:rsidRDefault="00AD3846" w:rsidP="00AD3846">
            <w:pPr>
              <w:jc w:val="center"/>
              <w:rPr>
                <w:b/>
                <w:bCs/>
              </w:rPr>
            </w:pPr>
            <w:r>
              <w:rPr>
                <w:b/>
                <w:spacing w:val="-4"/>
                <w:sz w:val="18"/>
              </w:rPr>
              <w:t>+/-</w:t>
            </w:r>
            <w:r>
              <w:rPr>
                <w:b/>
                <w:sz w:val="18"/>
              </w:rPr>
              <w:t xml:space="preserve"> </w:t>
            </w:r>
            <w:r>
              <w:rPr>
                <w:b/>
                <w:spacing w:val="-2"/>
                <w:sz w:val="18"/>
              </w:rPr>
              <w:t>Movement</w:t>
            </w:r>
            <w:r>
              <w:rPr>
                <w:b/>
                <w:sz w:val="18"/>
              </w:rPr>
              <w:t xml:space="preserve"> for</w:t>
            </w:r>
            <w:r>
              <w:rPr>
                <w:b/>
                <w:spacing w:val="-11"/>
                <w:sz w:val="18"/>
              </w:rPr>
              <w:t xml:space="preserve"> </w:t>
            </w:r>
            <w:r>
              <w:rPr>
                <w:b/>
                <w:sz w:val="18"/>
              </w:rPr>
              <w:t>the</w:t>
            </w:r>
            <w:r>
              <w:rPr>
                <w:b/>
                <w:spacing w:val="-10"/>
                <w:sz w:val="18"/>
              </w:rPr>
              <w:t xml:space="preserve"> </w:t>
            </w:r>
            <w:r>
              <w:rPr>
                <w:b/>
                <w:sz w:val="18"/>
              </w:rPr>
              <w:t xml:space="preserve">Year </w:t>
            </w:r>
            <w:r>
              <w:rPr>
                <w:b/>
                <w:spacing w:val="-6"/>
                <w:sz w:val="18"/>
              </w:rPr>
              <w:t>by</w:t>
            </w:r>
            <w:r>
              <w:rPr>
                <w:b/>
                <w:sz w:val="18"/>
              </w:rPr>
              <w:t xml:space="preserve"> </w:t>
            </w:r>
            <w:r>
              <w:rPr>
                <w:b/>
                <w:spacing w:val="-2"/>
                <w:sz w:val="18"/>
              </w:rPr>
              <w:t>Percentage</w:t>
            </w:r>
            <w:r>
              <w:rPr>
                <w:b/>
                <w:sz w:val="18"/>
              </w:rPr>
              <w:t xml:space="preserve"> </w:t>
            </w:r>
            <w:r>
              <w:rPr>
                <w:b/>
                <w:spacing w:val="-2"/>
                <w:sz w:val="18"/>
              </w:rPr>
              <w:t>Points</w:t>
            </w:r>
          </w:p>
        </w:tc>
        <w:tc>
          <w:tcPr>
            <w:tcW w:w="0" w:type="auto"/>
            <w:shd w:val="clear" w:color="auto" w:fill="EDF0F3"/>
          </w:tcPr>
          <w:p w14:paraId="68BEA005" w14:textId="77777777" w:rsidR="00AD3846" w:rsidRPr="008A26B4" w:rsidRDefault="00AD3846" w:rsidP="00AD3846">
            <w:pPr>
              <w:jc w:val="center"/>
              <w:rPr>
                <w:b/>
                <w:bCs/>
              </w:rPr>
            </w:pPr>
            <w:r>
              <w:rPr>
                <w:b/>
                <w:sz w:val="18"/>
              </w:rPr>
              <w:t>+/-</w:t>
            </w:r>
            <w:r>
              <w:rPr>
                <w:b/>
                <w:spacing w:val="-11"/>
                <w:sz w:val="18"/>
              </w:rPr>
              <w:t xml:space="preserve"> </w:t>
            </w:r>
            <w:r>
              <w:rPr>
                <w:b/>
                <w:sz w:val="18"/>
              </w:rPr>
              <w:t xml:space="preserve">Movement in Total by </w:t>
            </w:r>
            <w:r>
              <w:rPr>
                <w:b/>
                <w:spacing w:val="-2"/>
                <w:sz w:val="18"/>
              </w:rPr>
              <w:t>Percentage</w:t>
            </w:r>
            <w:r>
              <w:rPr>
                <w:b/>
                <w:sz w:val="18"/>
              </w:rPr>
              <w:t xml:space="preserve"> </w:t>
            </w:r>
            <w:r>
              <w:rPr>
                <w:b/>
                <w:spacing w:val="-2"/>
                <w:sz w:val="18"/>
              </w:rPr>
              <w:t>Points</w:t>
            </w:r>
          </w:p>
        </w:tc>
      </w:tr>
      <w:tr w:rsidR="00AD3846" w14:paraId="1C0E1403" w14:textId="77777777" w:rsidTr="00AD3846">
        <w:tc>
          <w:tcPr>
            <w:tcW w:w="1463" w:type="dxa"/>
          </w:tcPr>
          <w:p w14:paraId="4F921CF1" w14:textId="77777777" w:rsidR="00AD3846" w:rsidRDefault="00AD3846" w:rsidP="00AD3846">
            <w:pPr>
              <w:rPr>
                <w:sz w:val="18"/>
                <w:szCs w:val="18"/>
              </w:rPr>
            </w:pPr>
            <w:r>
              <w:t>2017</w:t>
            </w:r>
            <w:r>
              <w:rPr>
                <w:spacing w:val="-9"/>
              </w:rPr>
              <w:t xml:space="preserve"> </w:t>
            </w:r>
          </w:p>
        </w:tc>
        <w:tc>
          <w:tcPr>
            <w:tcW w:w="0" w:type="auto"/>
          </w:tcPr>
          <w:p w14:paraId="336D26B0" w14:textId="77777777" w:rsidR="00AD3846" w:rsidRDefault="00AD3846" w:rsidP="00AD3846">
            <w:pPr>
              <w:jc w:val="center"/>
            </w:pPr>
            <w:r>
              <w:rPr>
                <w:spacing w:val="-2"/>
              </w:rPr>
              <w:t>24.1%</w:t>
            </w:r>
          </w:p>
        </w:tc>
        <w:tc>
          <w:tcPr>
            <w:tcW w:w="0" w:type="auto"/>
          </w:tcPr>
          <w:p w14:paraId="7D71FF4E" w14:textId="77777777" w:rsidR="00AD3846" w:rsidRDefault="00AD3846" w:rsidP="00AD3846">
            <w:pPr>
              <w:jc w:val="center"/>
            </w:pPr>
            <w:r>
              <w:rPr>
                <w:spacing w:val="-2"/>
              </w:rPr>
              <w:t>--</w:t>
            </w:r>
            <w:r>
              <w:rPr>
                <w:spacing w:val="-12"/>
              </w:rPr>
              <w:t>-</w:t>
            </w:r>
          </w:p>
        </w:tc>
        <w:tc>
          <w:tcPr>
            <w:tcW w:w="0" w:type="auto"/>
            <w:shd w:val="clear" w:color="auto" w:fill="EDF0F3"/>
          </w:tcPr>
          <w:p w14:paraId="195C5D95" w14:textId="77777777" w:rsidR="00AD3846" w:rsidRDefault="00AD3846" w:rsidP="00AD3846">
            <w:pPr>
              <w:jc w:val="center"/>
            </w:pPr>
            <w:r>
              <w:rPr>
                <w:spacing w:val="-2"/>
              </w:rPr>
              <w:t>--</w:t>
            </w:r>
            <w:r>
              <w:rPr>
                <w:spacing w:val="-12"/>
              </w:rPr>
              <w:t>-</w:t>
            </w:r>
          </w:p>
        </w:tc>
        <w:tc>
          <w:tcPr>
            <w:tcW w:w="0" w:type="auto"/>
          </w:tcPr>
          <w:p w14:paraId="077ED58E" w14:textId="77777777" w:rsidR="00AD3846" w:rsidRDefault="00AD3846" w:rsidP="00AD3846">
            <w:pPr>
              <w:jc w:val="center"/>
            </w:pPr>
            <w:r>
              <w:rPr>
                <w:spacing w:val="-2"/>
              </w:rPr>
              <w:t>22.7%</w:t>
            </w:r>
          </w:p>
        </w:tc>
        <w:tc>
          <w:tcPr>
            <w:tcW w:w="0" w:type="auto"/>
          </w:tcPr>
          <w:p w14:paraId="27D35372" w14:textId="77777777" w:rsidR="00AD3846" w:rsidRDefault="00AD3846" w:rsidP="00AD3846">
            <w:pPr>
              <w:jc w:val="center"/>
            </w:pPr>
            <w:r>
              <w:rPr>
                <w:spacing w:val="-2"/>
              </w:rPr>
              <w:t>--</w:t>
            </w:r>
            <w:r>
              <w:rPr>
                <w:spacing w:val="-12"/>
              </w:rPr>
              <w:t>-</w:t>
            </w:r>
          </w:p>
        </w:tc>
        <w:tc>
          <w:tcPr>
            <w:tcW w:w="0" w:type="auto"/>
            <w:shd w:val="clear" w:color="auto" w:fill="EDF0F3"/>
          </w:tcPr>
          <w:p w14:paraId="7135125B" w14:textId="77777777" w:rsidR="00AD3846" w:rsidRDefault="00AD3846" w:rsidP="00AD3846">
            <w:pPr>
              <w:jc w:val="center"/>
            </w:pPr>
            <w:r>
              <w:rPr>
                <w:spacing w:val="-2"/>
              </w:rPr>
              <w:t>--</w:t>
            </w:r>
            <w:r>
              <w:rPr>
                <w:spacing w:val="-12"/>
              </w:rPr>
              <w:t>-</w:t>
            </w:r>
          </w:p>
        </w:tc>
      </w:tr>
      <w:tr w:rsidR="00AD3846" w14:paraId="66459B89" w14:textId="77777777" w:rsidTr="00AD3846">
        <w:tc>
          <w:tcPr>
            <w:tcW w:w="1463" w:type="dxa"/>
          </w:tcPr>
          <w:p w14:paraId="632280BE" w14:textId="77777777" w:rsidR="00AD3846" w:rsidRDefault="00AD3846" w:rsidP="00AD3846">
            <w:pPr>
              <w:rPr>
                <w:sz w:val="18"/>
                <w:szCs w:val="18"/>
              </w:rPr>
            </w:pPr>
            <w:r>
              <w:t>2018</w:t>
            </w:r>
            <w:r>
              <w:rPr>
                <w:spacing w:val="-9"/>
              </w:rPr>
              <w:t xml:space="preserve"> </w:t>
            </w:r>
          </w:p>
        </w:tc>
        <w:tc>
          <w:tcPr>
            <w:tcW w:w="0" w:type="auto"/>
          </w:tcPr>
          <w:p w14:paraId="3DB1E811" w14:textId="77777777" w:rsidR="00AD3846" w:rsidRDefault="00AD3846" w:rsidP="00AD3846">
            <w:pPr>
              <w:jc w:val="center"/>
            </w:pPr>
            <w:r>
              <w:rPr>
                <w:spacing w:val="-2"/>
              </w:rPr>
              <w:t>23.1%</w:t>
            </w:r>
          </w:p>
        </w:tc>
        <w:tc>
          <w:tcPr>
            <w:tcW w:w="0" w:type="auto"/>
          </w:tcPr>
          <w:p w14:paraId="6D20B55B"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10"/>
              </w:rPr>
              <w:t>1</w:t>
            </w:r>
          </w:p>
        </w:tc>
        <w:tc>
          <w:tcPr>
            <w:tcW w:w="0" w:type="auto"/>
            <w:shd w:val="clear" w:color="auto" w:fill="EDF0F3"/>
          </w:tcPr>
          <w:p w14:paraId="1ADA5474" w14:textId="77777777" w:rsidR="00AD3846" w:rsidRDefault="00AD3846" w:rsidP="00AD3846">
            <w:pPr>
              <w:jc w:val="center"/>
            </w:pPr>
            <w:r>
              <w:t xml:space="preserve">- </w:t>
            </w:r>
            <w:r>
              <w:rPr>
                <w:spacing w:val="-10"/>
              </w:rPr>
              <w:t>1</w:t>
            </w:r>
          </w:p>
        </w:tc>
        <w:tc>
          <w:tcPr>
            <w:tcW w:w="0" w:type="auto"/>
          </w:tcPr>
          <w:p w14:paraId="44E6AB4D" w14:textId="77777777" w:rsidR="00AD3846" w:rsidRDefault="00AD3846" w:rsidP="00AD3846">
            <w:pPr>
              <w:jc w:val="center"/>
            </w:pPr>
            <w:r>
              <w:rPr>
                <w:spacing w:val="-2"/>
              </w:rPr>
              <w:t>19.0%</w:t>
            </w:r>
          </w:p>
        </w:tc>
        <w:tc>
          <w:tcPr>
            <w:tcW w:w="0" w:type="auto"/>
          </w:tcPr>
          <w:p w14:paraId="6046758C"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5"/>
              </w:rPr>
              <w:t>3.7</w:t>
            </w:r>
          </w:p>
        </w:tc>
        <w:tc>
          <w:tcPr>
            <w:tcW w:w="0" w:type="auto"/>
            <w:shd w:val="clear" w:color="auto" w:fill="EDF0F3"/>
          </w:tcPr>
          <w:p w14:paraId="0A186E21" w14:textId="77777777" w:rsidR="00AD3846" w:rsidRDefault="00AD3846" w:rsidP="00AD3846">
            <w:pPr>
              <w:jc w:val="center"/>
            </w:pPr>
            <w:r>
              <w:t xml:space="preserve">- </w:t>
            </w:r>
            <w:r>
              <w:rPr>
                <w:spacing w:val="-5"/>
              </w:rPr>
              <w:t>3.7</w:t>
            </w:r>
          </w:p>
        </w:tc>
      </w:tr>
      <w:tr w:rsidR="00AD3846" w14:paraId="770041F3" w14:textId="77777777" w:rsidTr="00AD3846">
        <w:tc>
          <w:tcPr>
            <w:tcW w:w="1463" w:type="dxa"/>
          </w:tcPr>
          <w:p w14:paraId="176CD5C7" w14:textId="77777777" w:rsidR="00AD3846" w:rsidRDefault="00AD3846" w:rsidP="00AD3846">
            <w:pPr>
              <w:rPr>
                <w:sz w:val="18"/>
                <w:szCs w:val="18"/>
              </w:rPr>
            </w:pPr>
            <w:r>
              <w:t>2019</w:t>
            </w:r>
            <w:r>
              <w:rPr>
                <w:spacing w:val="-9"/>
              </w:rPr>
              <w:t xml:space="preserve"> </w:t>
            </w:r>
          </w:p>
        </w:tc>
        <w:tc>
          <w:tcPr>
            <w:tcW w:w="0" w:type="auto"/>
          </w:tcPr>
          <w:p w14:paraId="4551E233" w14:textId="77777777" w:rsidR="00AD3846" w:rsidRDefault="00AD3846" w:rsidP="00AD3846">
            <w:pPr>
              <w:jc w:val="center"/>
            </w:pPr>
            <w:r>
              <w:rPr>
                <w:spacing w:val="-2"/>
              </w:rPr>
              <w:t>20.6%</w:t>
            </w:r>
          </w:p>
        </w:tc>
        <w:tc>
          <w:tcPr>
            <w:tcW w:w="0" w:type="auto"/>
          </w:tcPr>
          <w:p w14:paraId="715F8D20"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5"/>
              </w:rPr>
              <w:t>2.5</w:t>
            </w:r>
          </w:p>
        </w:tc>
        <w:tc>
          <w:tcPr>
            <w:tcW w:w="0" w:type="auto"/>
            <w:shd w:val="clear" w:color="auto" w:fill="EDF0F3"/>
          </w:tcPr>
          <w:p w14:paraId="79B5F337" w14:textId="77777777" w:rsidR="00AD3846" w:rsidRDefault="00AD3846" w:rsidP="00AD3846">
            <w:pPr>
              <w:jc w:val="center"/>
            </w:pPr>
            <w:r>
              <w:t xml:space="preserve">- </w:t>
            </w:r>
            <w:r>
              <w:rPr>
                <w:spacing w:val="-5"/>
              </w:rPr>
              <w:t>3.5</w:t>
            </w:r>
          </w:p>
        </w:tc>
        <w:tc>
          <w:tcPr>
            <w:tcW w:w="0" w:type="auto"/>
          </w:tcPr>
          <w:p w14:paraId="54408914" w14:textId="77777777" w:rsidR="00AD3846" w:rsidRDefault="00AD3846" w:rsidP="00AD3846">
            <w:pPr>
              <w:jc w:val="center"/>
            </w:pPr>
            <w:r>
              <w:rPr>
                <w:spacing w:val="-2"/>
              </w:rPr>
              <w:t>18.4%</w:t>
            </w:r>
          </w:p>
        </w:tc>
        <w:tc>
          <w:tcPr>
            <w:tcW w:w="0" w:type="auto"/>
          </w:tcPr>
          <w:p w14:paraId="4AD7A719"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5"/>
              </w:rPr>
              <w:t>0.6</w:t>
            </w:r>
          </w:p>
        </w:tc>
        <w:tc>
          <w:tcPr>
            <w:tcW w:w="0" w:type="auto"/>
            <w:shd w:val="clear" w:color="auto" w:fill="EDF0F3"/>
          </w:tcPr>
          <w:p w14:paraId="4E3233F6" w14:textId="77777777" w:rsidR="00AD3846" w:rsidRDefault="00AD3846" w:rsidP="00AD3846">
            <w:pPr>
              <w:jc w:val="center"/>
            </w:pPr>
            <w:r>
              <w:t xml:space="preserve">- </w:t>
            </w:r>
            <w:r>
              <w:rPr>
                <w:spacing w:val="-5"/>
              </w:rPr>
              <w:t>4.3</w:t>
            </w:r>
          </w:p>
        </w:tc>
      </w:tr>
      <w:tr w:rsidR="00AD3846" w14:paraId="54822C63" w14:textId="77777777" w:rsidTr="00AD3846">
        <w:tc>
          <w:tcPr>
            <w:tcW w:w="1463" w:type="dxa"/>
          </w:tcPr>
          <w:p w14:paraId="5FEF0275" w14:textId="77777777" w:rsidR="00AD3846" w:rsidRDefault="00AD3846" w:rsidP="00AD3846">
            <w:pPr>
              <w:rPr>
                <w:sz w:val="18"/>
                <w:szCs w:val="18"/>
              </w:rPr>
            </w:pPr>
            <w:r>
              <w:t>2020</w:t>
            </w:r>
            <w:r>
              <w:rPr>
                <w:spacing w:val="-9"/>
              </w:rPr>
              <w:t xml:space="preserve"> </w:t>
            </w:r>
          </w:p>
        </w:tc>
        <w:tc>
          <w:tcPr>
            <w:tcW w:w="0" w:type="auto"/>
          </w:tcPr>
          <w:p w14:paraId="6F3E3405" w14:textId="77777777" w:rsidR="00AD3846" w:rsidRDefault="00AD3846" w:rsidP="00AD3846">
            <w:pPr>
              <w:jc w:val="center"/>
            </w:pPr>
            <w:r>
              <w:rPr>
                <w:spacing w:val="-2"/>
              </w:rPr>
              <w:t>20.3%</w:t>
            </w:r>
          </w:p>
        </w:tc>
        <w:tc>
          <w:tcPr>
            <w:tcW w:w="0" w:type="auto"/>
          </w:tcPr>
          <w:p w14:paraId="405E84C6"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5"/>
              </w:rPr>
              <w:t>0.3</w:t>
            </w:r>
          </w:p>
        </w:tc>
        <w:tc>
          <w:tcPr>
            <w:tcW w:w="0" w:type="auto"/>
            <w:shd w:val="clear" w:color="auto" w:fill="EDF0F3"/>
          </w:tcPr>
          <w:p w14:paraId="05187B92" w14:textId="77777777" w:rsidR="00AD3846" w:rsidRDefault="00AD3846" w:rsidP="00AD3846">
            <w:pPr>
              <w:jc w:val="center"/>
            </w:pPr>
            <w:r>
              <w:t xml:space="preserve">- </w:t>
            </w:r>
            <w:r>
              <w:rPr>
                <w:spacing w:val="-5"/>
              </w:rPr>
              <w:t>3.8</w:t>
            </w:r>
          </w:p>
        </w:tc>
        <w:tc>
          <w:tcPr>
            <w:tcW w:w="0" w:type="auto"/>
          </w:tcPr>
          <w:p w14:paraId="17494923" w14:textId="77777777" w:rsidR="00AD3846" w:rsidRDefault="00AD3846" w:rsidP="00AD3846">
            <w:pPr>
              <w:jc w:val="center"/>
            </w:pPr>
            <w:r>
              <w:rPr>
                <w:spacing w:val="-2"/>
              </w:rPr>
              <w:t>19.0%</w:t>
            </w:r>
          </w:p>
        </w:tc>
        <w:tc>
          <w:tcPr>
            <w:tcW w:w="0" w:type="auto"/>
          </w:tcPr>
          <w:p w14:paraId="718786EC" w14:textId="77777777" w:rsidR="00AD3846" w:rsidRPr="00064CE0" w:rsidRDefault="00AD3846" w:rsidP="00AD3846">
            <w:pPr>
              <w:jc w:val="center"/>
              <w:rPr>
                <w:b/>
                <w:bCs/>
              </w:rPr>
            </w:pPr>
            <w:r w:rsidRPr="00064CE0">
              <w:rPr>
                <w:b/>
                <w:bCs/>
                <w:color w:val="C00000"/>
              </w:rPr>
              <w:t>+</w:t>
            </w:r>
            <w:r w:rsidRPr="00064CE0">
              <w:rPr>
                <w:b/>
                <w:bCs/>
                <w:color w:val="C00000"/>
                <w:spacing w:val="1"/>
              </w:rPr>
              <w:t xml:space="preserve"> </w:t>
            </w:r>
            <w:r w:rsidRPr="00064CE0">
              <w:rPr>
                <w:b/>
                <w:bCs/>
                <w:color w:val="C00000"/>
                <w:spacing w:val="-5"/>
              </w:rPr>
              <w:t>0.6</w:t>
            </w:r>
          </w:p>
        </w:tc>
        <w:tc>
          <w:tcPr>
            <w:tcW w:w="0" w:type="auto"/>
            <w:shd w:val="clear" w:color="auto" w:fill="EDF0F3"/>
          </w:tcPr>
          <w:p w14:paraId="77500950" w14:textId="77777777" w:rsidR="00AD3846" w:rsidRDefault="00AD3846" w:rsidP="00AD3846">
            <w:pPr>
              <w:jc w:val="center"/>
            </w:pPr>
            <w:r>
              <w:t xml:space="preserve">- </w:t>
            </w:r>
            <w:r>
              <w:rPr>
                <w:spacing w:val="-5"/>
              </w:rPr>
              <w:t>3.7</w:t>
            </w:r>
          </w:p>
        </w:tc>
      </w:tr>
      <w:tr w:rsidR="00AD3846" w14:paraId="429D7826" w14:textId="77777777" w:rsidTr="00AD3846">
        <w:tc>
          <w:tcPr>
            <w:tcW w:w="1463" w:type="dxa"/>
          </w:tcPr>
          <w:p w14:paraId="20EDA237" w14:textId="77777777" w:rsidR="00AD3846" w:rsidRDefault="00AD3846" w:rsidP="00AD3846">
            <w:pPr>
              <w:rPr>
                <w:sz w:val="18"/>
                <w:szCs w:val="18"/>
              </w:rPr>
            </w:pPr>
            <w:r>
              <w:t>2021</w:t>
            </w:r>
            <w:r>
              <w:rPr>
                <w:spacing w:val="-9"/>
              </w:rPr>
              <w:t xml:space="preserve"> </w:t>
            </w:r>
          </w:p>
        </w:tc>
        <w:tc>
          <w:tcPr>
            <w:tcW w:w="0" w:type="auto"/>
          </w:tcPr>
          <w:p w14:paraId="5774E00F" w14:textId="77777777" w:rsidR="00AD3846" w:rsidRDefault="00AD3846" w:rsidP="00AD3846">
            <w:pPr>
              <w:jc w:val="center"/>
            </w:pPr>
            <w:r>
              <w:rPr>
                <w:spacing w:val="-2"/>
              </w:rPr>
              <w:t>20.0%</w:t>
            </w:r>
          </w:p>
        </w:tc>
        <w:tc>
          <w:tcPr>
            <w:tcW w:w="0" w:type="auto"/>
          </w:tcPr>
          <w:p w14:paraId="39C4959D" w14:textId="77777777" w:rsidR="00AD3846" w:rsidRPr="00064CE0" w:rsidRDefault="00AD3846" w:rsidP="00AD3846">
            <w:pPr>
              <w:jc w:val="center"/>
              <w:rPr>
                <w:b/>
                <w:bCs/>
                <w:color w:val="538135" w:themeColor="accent6" w:themeShade="BF"/>
              </w:rPr>
            </w:pPr>
            <w:r w:rsidRPr="00064CE0">
              <w:rPr>
                <w:b/>
                <w:bCs/>
                <w:color w:val="538135" w:themeColor="accent6" w:themeShade="BF"/>
              </w:rPr>
              <w:t xml:space="preserve">- </w:t>
            </w:r>
            <w:r w:rsidRPr="00064CE0">
              <w:rPr>
                <w:b/>
                <w:bCs/>
                <w:color w:val="538135" w:themeColor="accent6" w:themeShade="BF"/>
                <w:spacing w:val="-5"/>
              </w:rPr>
              <w:t>0.3</w:t>
            </w:r>
          </w:p>
        </w:tc>
        <w:tc>
          <w:tcPr>
            <w:tcW w:w="0" w:type="auto"/>
            <w:shd w:val="clear" w:color="auto" w:fill="EDF0F3"/>
          </w:tcPr>
          <w:p w14:paraId="45AC6CAB" w14:textId="77777777" w:rsidR="00AD3846" w:rsidRDefault="00AD3846" w:rsidP="00AD3846">
            <w:pPr>
              <w:jc w:val="center"/>
            </w:pPr>
            <w:r>
              <w:t xml:space="preserve">- </w:t>
            </w:r>
            <w:r>
              <w:rPr>
                <w:spacing w:val="-5"/>
              </w:rPr>
              <w:t>4.1</w:t>
            </w:r>
          </w:p>
        </w:tc>
        <w:tc>
          <w:tcPr>
            <w:tcW w:w="0" w:type="auto"/>
          </w:tcPr>
          <w:p w14:paraId="02D1C4A6" w14:textId="77777777" w:rsidR="00AD3846" w:rsidRPr="00064CE0" w:rsidRDefault="00AD3846" w:rsidP="00AD3846">
            <w:pPr>
              <w:jc w:val="center"/>
              <w:rPr>
                <w:b/>
                <w:bCs/>
                <w:color w:val="538135" w:themeColor="accent6" w:themeShade="BF"/>
              </w:rPr>
            </w:pPr>
            <w:r w:rsidRPr="00064CE0">
              <w:rPr>
                <w:b/>
                <w:bCs/>
                <w:color w:val="538135" w:themeColor="accent6" w:themeShade="BF"/>
                <w:spacing w:val="-2"/>
              </w:rPr>
              <w:t>16.0%</w:t>
            </w:r>
          </w:p>
        </w:tc>
        <w:tc>
          <w:tcPr>
            <w:tcW w:w="0" w:type="auto"/>
          </w:tcPr>
          <w:p w14:paraId="4471D6B1" w14:textId="77777777" w:rsidR="00AD3846" w:rsidRPr="00064CE0" w:rsidRDefault="00AD3846" w:rsidP="00AD3846">
            <w:pPr>
              <w:jc w:val="center"/>
              <w:rPr>
                <w:b/>
                <w:bCs/>
                <w:color w:val="538135" w:themeColor="accent6" w:themeShade="BF"/>
              </w:rPr>
            </w:pPr>
            <w:r w:rsidRPr="00064CE0">
              <w:rPr>
                <w:b/>
                <w:bCs/>
                <w:color w:val="538135" w:themeColor="accent6" w:themeShade="BF"/>
                <w:spacing w:val="-2"/>
              </w:rPr>
              <w:t xml:space="preserve">- </w:t>
            </w:r>
            <w:r w:rsidRPr="00064CE0">
              <w:rPr>
                <w:b/>
                <w:bCs/>
                <w:color w:val="538135" w:themeColor="accent6" w:themeShade="BF"/>
                <w:spacing w:val="-5"/>
              </w:rPr>
              <w:t>3.0</w:t>
            </w:r>
          </w:p>
        </w:tc>
        <w:tc>
          <w:tcPr>
            <w:tcW w:w="0" w:type="auto"/>
            <w:shd w:val="clear" w:color="auto" w:fill="EDF0F3"/>
          </w:tcPr>
          <w:p w14:paraId="5E461B98" w14:textId="77777777" w:rsidR="00AD3846" w:rsidRDefault="00AD3846" w:rsidP="00AD3846">
            <w:pPr>
              <w:jc w:val="center"/>
            </w:pPr>
            <w:r>
              <w:t xml:space="preserve">- </w:t>
            </w:r>
            <w:r>
              <w:rPr>
                <w:spacing w:val="-5"/>
              </w:rPr>
              <w:t>6.7</w:t>
            </w:r>
          </w:p>
        </w:tc>
      </w:tr>
      <w:tr w:rsidR="00AD3846" w14:paraId="3702D806" w14:textId="77777777" w:rsidTr="00AD3846">
        <w:tc>
          <w:tcPr>
            <w:tcW w:w="1463" w:type="dxa"/>
          </w:tcPr>
          <w:p w14:paraId="2E173328" w14:textId="77777777" w:rsidR="00AD3846" w:rsidRDefault="00AD3846" w:rsidP="00AD3846">
            <w:pPr>
              <w:rPr>
                <w:sz w:val="18"/>
                <w:szCs w:val="18"/>
              </w:rPr>
            </w:pPr>
            <w:r>
              <w:t>2022</w:t>
            </w:r>
            <w:r>
              <w:rPr>
                <w:spacing w:val="-9"/>
              </w:rPr>
              <w:t xml:space="preserve"> </w:t>
            </w:r>
          </w:p>
        </w:tc>
        <w:tc>
          <w:tcPr>
            <w:tcW w:w="0" w:type="auto"/>
          </w:tcPr>
          <w:p w14:paraId="4B1247D8" w14:textId="77777777" w:rsidR="00AD3846" w:rsidRDefault="00AD3846" w:rsidP="00AD3846">
            <w:pPr>
              <w:jc w:val="center"/>
            </w:pPr>
            <w:r>
              <w:rPr>
                <w:spacing w:val="-2"/>
              </w:rPr>
              <w:t>21.1%</w:t>
            </w:r>
          </w:p>
        </w:tc>
        <w:tc>
          <w:tcPr>
            <w:tcW w:w="0" w:type="auto"/>
          </w:tcPr>
          <w:p w14:paraId="175AF9CB" w14:textId="77777777" w:rsidR="00AD3846" w:rsidRPr="00064CE0" w:rsidRDefault="00AD3846" w:rsidP="00AD3846">
            <w:pPr>
              <w:jc w:val="center"/>
              <w:rPr>
                <w:b/>
                <w:bCs/>
              </w:rPr>
            </w:pPr>
            <w:r w:rsidRPr="00064CE0">
              <w:rPr>
                <w:b/>
                <w:bCs/>
                <w:color w:val="C00000"/>
                <w:spacing w:val="-4"/>
              </w:rPr>
              <w:t>+ 1.1</w:t>
            </w:r>
          </w:p>
        </w:tc>
        <w:tc>
          <w:tcPr>
            <w:tcW w:w="0" w:type="auto"/>
            <w:shd w:val="clear" w:color="auto" w:fill="EDF0F3"/>
          </w:tcPr>
          <w:p w14:paraId="182DAFCC" w14:textId="77777777" w:rsidR="00AD3846" w:rsidRDefault="00AD3846" w:rsidP="00AD3846">
            <w:pPr>
              <w:jc w:val="center"/>
            </w:pPr>
            <w:r>
              <w:rPr>
                <w:spacing w:val="-2"/>
              </w:rPr>
              <w:t>-</w:t>
            </w:r>
            <w:r>
              <w:rPr>
                <w:spacing w:val="-5"/>
              </w:rPr>
              <w:t>3.0</w:t>
            </w:r>
          </w:p>
        </w:tc>
        <w:tc>
          <w:tcPr>
            <w:tcW w:w="0" w:type="auto"/>
          </w:tcPr>
          <w:p w14:paraId="2BBDF0CA" w14:textId="77777777" w:rsidR="00AD3846" w:rsidRDefault="00AD3846" w:rsidP="00AD3846">
            <w:pPr>
              <w:jc w:val="center"/>
            </w:pPr>
            <w:r>
              <w:rPr>
                <w:spacing w:val="-2"/>
              </w:rPr>
              <w:t>18.6%</w:t>
            </w:r>
          </w:p>
        </w:tc>
        <w:tc>
          <w:tcPr>
            <w:tcW w:w="0" w:type="auto"/>
          </w:tcPr>
          <w:p w14:paraId="30CB3A65" w14:textId="77777777" w:rsidR="00AD3846" w:rsidRPr="00064CE0" w:rsidRDefault="00AD3846" w:rsidP="00AD3846">
            <w:pPr>
              <w:jc w:val="center"/>
              <w:rPr>
                <w:b/>
                <w:bCs/>
              </w:rPr>
            </w:pPr>
            <w:r w:rsidRPr="00064CE0">
              <w:rPr>
                <w:b/>
                <w:bCs/>
                <w:color w:val="C00000"/>
                <w:spacing w:val="-4"/>
              </w:rPr>
              <w:t>+ 2.6</w:t>
            </w:r>
          </w:p>
        </w:tc>
        <w:tc>
          <w:tcPr>
            <w:tcW w:w="0" w:type="auto"/>
            <w:shd w:val="clear" w:color="auto" w:fill="EDF0F3"/>
          </w:tcPr>
          <w:p w14:paraId="7F8BF354" w14:textId="77777777" w:rsidR="00AD3846" w:rsidRDefault="00AD3846" w:rsidP="00AD3846">
            <w:pPr>
              <w:jc w:val="center"/>
            </w:pPr>
            <w:r>
              <w:t xml:space="preserve">- </w:t>
            </w:r>
            <w:r>
              <w:rPr>
                <w:spacing w:val="-5"/>
              </w:rPr>
              <w:t>4.1</w:t>
            </w:r>
          </w:p>
        </w:tc>
      </w:tr>
      <w:tr w:rsidR="00AD3846" w14:paraId="548D7FEA" w14:textId="77777777" w:rsidTr="00AD3846">
        <w:trPr>
          <w:trHeight w:val="300"/>
        </w:trPr>
        <w:tc>
          <w:tcPr>
            <w:tcW w:w="1463" w:type="dxa"/>
          </w:tcPr>
          <w:p w14:paraId="0326376C" w14:textId="77777777" w:rsidR="00AD3846" w:rsidRPr="00E87BD2" w:rsidRDefault="00AD3846" w:rsidP="00AD3846">
            <w:r>
              <w:t xml:space="preserve">2023 </w:t>
            </w:r>
          </w:p>
        </w:tc>
        <w:tc>
          <w:tcPr>
            <w:tcW w:w="950" w:type="dxa"/>
          </w:tcPr>
          <w:p w14:paraId="6C28EA85" w14:textId="77777777" w:rsidR="00AD3846" w:rsidRDefault="00AD3846" w:rsidP="00AD3846">
            <w:pPr>
              <w:jc w:val="center"/>
            </w:pPr>
            <w:r>
              <w:t>19.2%</w:t>
            </w:r>
          </w:p>
        </w:tc>
        <w:tc>
          <w:tcPr>
            <w:tcW w:w="1485" w:type="dxa"/>
          </w:tcPr>
          <w:p w14:paraId="78B9EAAC" w14:textId="77777777" w:rsidR="00AD3846" w:rsidRPr="00064CE0" w:rsidRDefault="00AD3846" w:rsidP="00AD3846">
            <w:pPr>
              <w:jc w:val="center"/>
              <w:rPr>
                <w:b/>
                <w:bCs/>
                <w:color w:val="538135" w:themeColor="accent6" w:themeShade="BF"/>
              </w:rPr>
            </w:pPr>
            <w:r w:rsidRPr="00064CE0">
              <w:rPr>
                <w:b/>
                <w:bCs/>
                <w:color w:val="538135" w:themeColor="accent6" w:themeShade="BF"/>
              </w:rPr>
              <w:t>-1.9</w:t>
            </w:r>
          </w:p>
        </w:tc>
        <w:tc>
          <w:tcPr>
            <w:tcW w:w="1444" w:type="dxa"/>
            <w:shd w:val="clear" w:color="auto" w:fill="EDF0F3"/>
          </w:tcPr>
          <w:p w14:paraId="0F6CD115" w14:textId="77777777" w:rsidR="00AD3846" w:rsidRDefault="00AD3846" w:rsidP="00AD3846">
            <w:pPr>
              <w:jc w:val="center"/>
            </w:pPr>
            <w:r>
              <w:t>-4.9</w:t>
            </w:r>
          </w:p>
        </w:tc>
        <w:tc>
          <w:tcPr>
            <w:tcW w:w="981" w:type="dxa"/>
          </w:tcPr>
          <w:p w14:paraId="5C9DCB33" w14:textId="77777777" w:rsidR="00AD3846" w:rsidRDefault="00AD3846" w:rsidP="00AD3846">
            <w:pPr>
              <w:jc w:val="center"/>
            </w:pPr>
            <w:r>
              <w:t>17.9%</w:t>
            </w:r>
          </w:p>
        </w:tc>
        <w:tc>
          <w:tcPr>
            <w:tcW w:w="1485" w:type="dxa"/>
          </w:tcPr>
          <w:p w14:paraId="2C8942B0" w14:textId="77777777" w:rsidR="00AD3846" w:rsidRPr="00064CE0" w:rsidRDefault="00AD3846" w:rsidP="00AD3846">
            <w:pPr>
              <w:jc w:val="center"/>
              <w:rPr>
                <w:b/>
                <w:bCs/>
              </w:rPr>
            </w:pPr>
            <w:r w:rsidRPr="00064CE0">
              <w:rPr>
                <w:b/>
                <w:bCs/>
                <w:color w:val="538135" w:themeColor="accent6" w:themeShade="BF"/>
              </w:rPr>
              <w:t>- 0.7</w:t>
            </w:r>
          </w:p>
        </w:tc>
        <w:tc>
          <w:tcPr>
            <w:tcW w:w="1444" w:type="dxa"/>
            <w:shd w:val="clear" w:color="auto" w:fill="EDF0F3"/>
          </w:tcPr>
          <w:p w14:paraId="28D027A4" w14:textId="77777777" w:rsidR="00AD3846" w:rsidRDefault="00AD3846" w:rsidP="00AD3846">
            <w:pPr>
              <w:jc w:val="center"/>
            </w:pPr>
            <w:r>
              <w:t>-4.8</w:t>
            </w:r>
          </w:p>
        </w:tc>
      </w:tr>
      <w:tr w:rsidR="00AD3846" w14:paraId="5581C9B8" w14:textId="77777777" w:rsidTr="00AD3846">
        <w:trPr>
          <w:trHeight w:val="300"/>
        </w:trPr>
        <w:tc>
          <w:tcPr>
            <w:tcW w:w="1463" w:type="dxa"/>
            <w:shd w:val="clear" w:color="auto" w:fill="FFFFFF" w:themeFill="background1"/>
          </w:tcPr>
          <w:p w14:paraId="53711CD5" w14:textId="77777777" w:rsidR="00AD3846" w:rsidRDefault="00AD3846" w:rsidP="00AD3846">
            <w:r>
              <w:t>2024</w:t>
            </w:r>
          </w:p>
        </w:tc>
        <w:tc>
          <w:tcPr>
            <w:tcW w:w="950" w:type="dxa"/>
            <w:shd w:val="clear" w:color="auto" w:fill="FFFFFF" w:themeFill="background1"/>
          </w:tcPr>
          <w:p w14:paraId="356BF5A4" w14:textId="77777777" w:rsidR="00AD3846" w:rsidRDefault="00AD3846" w:rsidP="00AD3846">
            <w:pPr>
              <w:jc w:val="center"/>
            </w:pPr>
            <w:r>
              <w:t>18.5%</w:t>
            </w:r>
          </w:p>
        </w:tc>
        <w:tc>
          <w:tcPr>
            <w:tcW w:w="1485" w:type="dxa"/>
            <w:shd w:val="clear" w:color="auto" w:fill="FFFFFF" w:themeFill="background1"/>
          </w:tcPr>
          <w:p w14:paraId="09BB5B64" w14:textId="77777777" w:rsidR="00AD3846" w:rsidRPr="00064CE0" w:rsidRDefault="00AD3846" w:rsidP="00AD3846">
            <w:pPr>
              <w:jc w:val="center"/>
              <w:rPr>
                <w:b/>
                <w:bCs/>
                <w:color w:val="538135" w:themeColor="accent6" w:themeShade="BF"/>
              </w:rPr>
            </w:pPr>
            <w:r w:rsidRPr="00064CE0">
              <w:rPr>
                <w:b/>
                <w:bCs/>
                <w:color w:val="538135" w:themeColor="accent6" w:themeShade="BF"/>
              </w:rPr>
              <w:t>-0.7</w:t>
            </w:r>
          </w:p>
        </w:tc>
        <w:tc>
          <w:tcPr>
            <w:tcW w:w="1444" w:type="dxa"/>
            <w:shd w:val="clear" w:color="auto" w:fill="FFFFFF" w:themeFill="background1"/>
          </w:tcPr>
          <w:p w14:paraId="73ADB164" w14:textId="77777777" w:rsidR="00AD3846" w:rsidRDefault="00AD3846" w:rsidP="00AD3846">
            <w:pPr>
              <w:jc w:val="center"/>
            </w:pPr>
            <w:r>
              <w:t>-5.6</w:t>
            </w:r>
          </w:p>
        </w:tc>
        <w:tc>
          <w:tcPr>
            <w:tcW w:w="981" w:type="dxa"/>
            <w:shd w:val="clear" w:color="auto" w:fill="FFFFFF" w:themeFill="background1"/>
          </w:tcPr>
          <w:p w14:paraId="697B2DA8" w14:textId="77777777" w:rsidR="00AD3846" w:rsidRDefault="00AD3846" w:rsidP="00AD3846">
            <w:pPr>
              <w:jc w:val="center"/>
            </w:pPr>
            <w:r>
              <w:t>18.1%</w:t>
            </w:r>
          </w:p>
        </w:tc>
        <w:tc>
          <w:tcPr>
            <w:tcW w:w="1485" w:type="dxa"/>
            <w:shd w:val="clear" w:color="auto" w:fill="FFFFFF" w:themeFill="background1"/>
          </w:tcPr>
          <w:p w14:paraId="35936843" w14:textId="77777777" w:rsidR="00AD3846" w:rsidRPr="00064CE0" w:rsidRDefault="00AD3846" w:rsidP="00AD3846">
            <w:pPr>
              <w:jc w:val="center"/>
              <w:rPr>
                <w:b/>
                <w:bCs/>
              </w:rPr>
            </w:pPr>
            <w:r w:rsidRPr="00064CE0">
              <w:rPr>
                <w:b/>
                <w:bCs/>
                <w:color w:val="C00000"/>
              </w:rPr>
              <w:t>+0.2</w:t>
            </w:r>
          </w:p>
        </w:tc>
        <w:tc>
          <w:tcPr>
            <w:tcW w:w="1444" w:type="dxa"/>
            <w:shd w:val="clear" w:color="auto" w:fill="FFFFFF" w:themeFill="background1"/>
          </w:tcPr>
          <w:p w14:paraId="7313B132" w14:textId="77777777" w:rsidR="00AD3846" w:rsidRDefault="00AD3846" w:rsidP="00AD3846">
            <w:pPr>
              <w:jc w:val="center"/>
            </w:pPr>
            <w:r>
              <w:t>-4.6</w:t>
            </w:r>
          </w:p>
        </w:tc>
      </w:tr>
    </w:tbl>
    <w:p w14:paraId="4810828B" w14:textId="77777777" w:rsidR="00D65B42" w:rsidRPr="00D65B42" w:rsidRDefault="00D65B42" w:rsidP="00D65B42">
      <w:pPr>
        <w:jc w:val="center"/>
        <w:rPr>
          <w:b/>
          <w:sz w:val="28"/>
          <w:szCs w:val="28"/>
        </w:rPr>
      </w:pPr>
      <w:r w:rsidRPr="00D65B42">
        <w:rPr>
          <w:b/>
          <w:sz w:val="28"/>
          <w:szCs w:val="28"/>
        </w:rPr>
        <w:t>Gender Pay Gap Movement 2017-2024</w:t>
      </w:r>
    </w:p>
    <w:p w14:paraId="5F7CF8BE" w14:textId="77777777" w:rsidR="00C64C51" w:rsidRDefault="00C64C51" w:rsidP="00C64C51">
      <w:pPr>
        <w:spacing w:before="118"/>
        <w:ind w:right="237"/>
      </w:pPr>
    </w:p>
    <w:p w14:paraId="509C9CB3" w14:textId="77777777" w:rsidR="00C64C51" w:rsidRPr="00A51C7F" w:rsidRDefault="00C64C51" w:rsidP="001A67A5">
      <w:pPr>
        <w:spacing w:before="118"/>
        <w:ind w:right="95"/>
        <w:rPr>
          <w:sz w:val="24"/>
          <w:szCs w:val="24"/>
        </w:rPr>
      </w:pPr>
      <w:r w:rsidRPr="00A51C7F">
        <w:rPr>
          <w:sz w:val="24"/>
          <w:szCs w:val="24"/>
        </w:rPr>
        <w:t>The University’s current mean bonus</w:t>
      </w:r>
      <w:r w:rsidRPr="00A51C7F">
        <w:rPr>
          <w:spacing w:val="-2"/>
          <w:sz w:val="24"/>
          <w:szCs w:val="24"/>
        </w:rPr>
        <w:t xml:space="preserve"> </w:t>
      </w:r>
      <w:r w:rsidRPr="00A51C7F">
        <w:rPr>
          <w:sz w:val="24"/>
          <w:szCs w:val="24"/>
        </w:rPr>
        <w:t>gender</w:t>
      </w:r>
      <w:r w:rsidRPr="00A51C7F">
        <w:rPr>
          <w:spacing w:val="-2"/>
          <w:sz w:val="24"/>
          <w:szCs w:val="24"/>
        </w:rPr>
        <w:t xml:space="preserve"> </w:t>
      </w:r>
      <w:r w:rsidRPr="00A51C7F">
        <w:rPr>
          <w:sz w:val="24"/>
          <w:szCs w:val="24"/>
        </w:rPr>
        <w:t>pay</w:t>
      </w:r>
      <w:r w:rsidRPr="00A51C7F">
        <w:rPr>
          <w:spacing w:val="-1"/>
          <w:sz w:val="24"/>
          <w:szCs w:val="24"/>
        </w:rPr>
        <w:t xml:space="preserve"> </w:t>
      </w:r>
      <w:r w:rsidRPr="00A51C7F">
        <w:rPr>
          <w:sz w:val="24"/>
          <w:szCs w:val="24"/>
        </w:rPr>
        <w:t>gap</w:t>
      </w:r>
      <w:r w:rsidRPr="00A51C7F">
        <w:rPr>
          <w:spacing w:val="-3"/>
          <w:sz w:val="24"/>
          <w:szCs w:val="24"/>
        </w:rPr>
        <w:t xml:space="preserve"> </w:t>
      </w:r>
      <w:r w:rsidRPr="00A51C7F">
        <w:rPr>
          <w:sz w:val="24"/>
          <w:szCs w:val="24"/>
        </w:rPr>
        <w:t>is 80.9%</w:t>
      </w:r>
      <w:r w:rsidRPr="00A51C7F">
        <w:rPr>
          <w:spacing w:val="-1"/>
          <w:sz w:val="24"/>
          <w:szCs w:val="24"/>
        </w:rPr>
        <w:t xml:space="preserve"> </w:t>
      </w:r>
      <w:r w:rsidRPr="00A51C7F">
        <w:rPr>
          <w:sz w:val="24"/>
          <w:szCs w:val="24"/>
        </w:rPr>
        <w:t>(75.4% in 2023) and median bonus</w:t>
      </w:r>
      <w:r w:rsidRPr="00A51C7F">
        <w:rPr>
          <w:spacing w:val="-2"/>
          <w:sz w:val="24"/>
          <w:szCs w:val="24"/>
        </w:rPr>
        <w:t xml:space="preserve"> </w:t>
      </w:r>
      <w:r w:rsidRPr="00A51C7F">
        <w:rPr>
          <w:sz w:val="24"/>
          <w:szCs w:val="24"/>
        </w:rPr>
        <w:t>gender</w:t>
      </w:r>
      <w:r w:rsidRPr="00A51C7F">
        <w:rPr>
          <w:spacing w:val="-2"/>
          <w:sz w:val="24"/>
          <w:szCs w:val="24"/>
        </w:rPr>
        <w:t xml:space="preserve"> </w:t>
      </w:r>
      <w:r w:rsidRPr="00A51C7F">
        <w:rPr>
          <w:sz w:val="24"/>
          <w:szCs w:val="24"/>
        </w:rPr>
        <w:t>pay</w:t>
      </w:r>
      <w:r w:rsidRPr="00A51C7F">
        <w:rPr>
          <w:spacing w:val="-1"/>
          <w:sz w:val="24"/>
          <w:szCs w:val="24"/>
        </w:rPr>
        <w:t xml:space="preserve"> </w:t>
      </w:r>
      <w:r w:rsidRPr="00A51C7F">
        <w:rPr>
          <w:sz w:val="24"/>
          <w:szCs w:val="24"/>
        </w:rPr>
        <w:t>gap</w:t>
      </w:r>
      <w:r w:rsidRPr="00A51C7F">
        <w:rPr>
          <w:spacing w:val="-3"/>
          <w:sz w:val="24"/>
          <w:szCs w:val="24"/>
        </w:rPr>
        <w:t xml:space="preserve"> </w:t>
      </w:r>
      <w:r w:rsidRPr="00A51C7F">
        <w:rPr>
          <w:sz w:val="24"/>
          <w:szCs w:val="24"/>
        </w:rPr>
        <w:t>is 50.0%</w:t>
      </w:r>
      <w:r w:rsidRPr="00A51C7F">
        <w:rPr>
          <w:b/>
          <w:bCs/>
          <w:sz w:val="24"/>
          <w:szCs w:val="24"/>
        </w:rPr>
        <w:t xml:space="preserve"> </w:t>
      </w:r>
      <w:r w:rsidRPr="00A51C7F">
        <w:rPr>
          <w:sz w:val="24"/>
          <w:szCs w:val="24"/>
        </w:rPr>
        <w:t>(0% in 2023). As the University only has a small number of bonus awards and the Clinical Excellence Awards are included in these calculations (although the cost of these is partially refunded by the NHS) the bonus gender pay gap is subject to significant fluctuation on an annual basis.</w:t>
      </w:r>
    </w:p>
    <w:p w14:paraId="23346EBF" w14:textId="77777777" w:rsidR="00C64C51" w:rsidRPr="00A51C7F" w:rsidRDefault="00C64C51" w:rsidP="001A67A5">
      <w:pPr>
        <w:spacing w:before="118"/>
        <w:ind w:right="95"/>
        <w:rPr>
          <w:sz w:val="24"/>
          <w:szCs w:val="24"/>
        </w:rPr>
      </w:pPr>
      <w:r w:rsidRPr="00A51C7F">
        <w:rPr>
          <w:sz w:val="24"/>
          <w:szCs w:val="24"/>
        </w:rPr>
        <w:t>As for many organisations, key determinants of the University’s gender pay gap include the absence</w:t>
      </w:r>
      <w:r w:rsidRPr="00A51C7F">
        <w:rPr>
          <w:spacing w:val="-4"/>
          <w:sz w:val="24"/>
          <w:szCs w:val="24"/>
        </w:rPr>
        <w:t xml:space="preserve"> </w:t>
      </w:r>
      <w:r w:rsidRPr="00A51C7F">
        <w:rPr>
          <w:sz w:val="24"/>
          <w:szCs w:val="24"/>
        </w:rPr>
        <w:t>of</w:t>
      </w:r>
      <w:r w:rsidRPr="00A51C7F">
        <w:rPr>
          <w:spacing w:val="-2"/>
          <w:sz w:val="24"/>
          <w:szCs w:val="24"/>
        </w:rPr>
        <w:t xml:space="preserve"> </w:t>
      </w:r>
      <w:r w:rsidRPr="00A51C7F">
        <w:rPr>
          <w:sz w:val="24"/>
          <w:szCs w:val="24"/>
        </w:rPr>
        <w:t>a</w:t>
      </w:r>
      <w:r w:rsidRPr="00A51C7F">
        <w:rPr>
          <w:spacing w:val="-4"/>
          <w:sz w:val="24"/>
          <w:szCs w:val="24"/>
        </w:rPr>
        <w:t xml:space="preserve"> </w:t>
      </w:r>
      <w:r w:rsidRPr="00A51C7F">
        <w:rPr>
          <w:sz w:val="24"/>
          <w:szCs w:val="24"/>
        </w:rPr>
        <w:t>gender</w:t>
      </w:r>
      <w:r w:rsidRPr="00A51C7F">
        <w:rPr>
          <w:spacing w:val="-2"/>
          <w:sz w:val="24"/>
          <w:szCs w:val="24"/>
        </w:rPr>
        <w:t xml:space="preserve"> </w:t>
      </w:r>
      <w:r w:rsidRPr="00A51C7F">
        <w:rPr>
          <w:sz w:val="24"/>
          <w:szCs w:val="24"/>
        </w:rPr>
        <w:t>balance</w:t>
      </w:r>
      <w:r w:rsidRPr="00A51C7F">
        <w:rPr>
          <w:spacing w:val="-1"/>
          <w:sz w:val="24"/>
          <w:szCs w:val="24"/>
        </w:rPr>
        <w:t xml:space="preserve"> </w:t>
      </w:r>
      <w:r w:rsidRPr="00A51C7F">
        <w:rPr>
          <w:sz w:val="24"/>
          <w:szCs w:val="24"/>
        </w:rPr>
        <w:t>across</w:t>
      </w:r>
      <w:r w:rsidRPr="00A51C7F">
        <w:rPr>
          <w:spacing w:val="-2"/>
          <w:sz w:val="24"/>
          <w:szCs w:val="24"/>
        </w:rPr>
        <w:t xml:space="preserve"> </w:t>
      </w:r>
      <w:r w:rsidRPr="00A51C7F">
        <w:rPr>
          <w:sz w:val="24"/>
          <w:szCs w:val="24"/>
        </w:rPr>
        <w:t>job</w:t>
      </w:r>
      <w:r w:rsidRPr="00A51C7F">
        <w:rPr>
          <w:spacing w:val="-3"/>
          <w:sz w:val="24"/>
          <w:szCs w:val="24"/>
        </w:rPr>
        <w:t xml:space="preserve"> </w:t>
      </w:r>
      <w:r w:rsidRPr="00A51C7F">
        <w:rPr>
          <w:sz w:val="24"/>
          <w:szCs w:val="24"/>
        </w:rPr>
        <w:t>categories</w:t>
      </w:r>
      <w:r w:rsidRPr="00A51C7F">
        <w:rPr>
          <w:spacing w:val="-4"/>
          <w:sz w:val="24"/>
          <w:szCs w:val="24"/>
        </w:rPr>
        <w:t xml:space="preserve"> </w:t>
      </w:r>
      <w:r w:rsidRPr="00A51C7F">
        <w:rPr>
          <w:sz w:val="24"/>
          <w:szCs w:val="24"/>
        </w:rPr>
        <w:t>(horizontal</w:t>
      </w:r>
      <w:r w:rsidRPr="00A51C7F">
        <w:rPr>
          <w:spacing w:val="-5"/>
          <w:sz w:val="24"/>
          <w:szCs w:val="24"/>
        </w:rPr>
        <w:t xml:space="preserve"> </w:t>
      </w:r>
      <w:r w:rsidRPr="00A51C7F">
        <w:rPr>
          <w:sz w:val="24"/>
          <w:szCs w:val="24"/>
        </w:rPr>
        <w:t>occupational</w:t>
      </w:r>
      <w:r w:rsidRPr="00A51C7F">
        <w:rPr>
          <w:spacing w:val="-2"/>
          <w:sz w:val="24"/>
          <w:szCs w:val="24"/>
        </w:rPr>
        <w:t xml:space="preserve"> </w:t>
      </w:r>
      <w:r w:rsidRPr="00A51C7F">
        <w:rPr>
          <w:sz w:val="24"/>
          <w:szCs w:val="24"/>
        </w:rPr>
        <w:t>segregation)</w:t>
      </w:r>
      <w:r w:rsidRPr="00A51C7F">
        <w:rPr>
          <w:spacing w:val="-2"/>
          <w:sz w:val="24"/>
          <w:szCs w:val="24"/>
        </w:rPr>
        <w:t xml:space="preserve"> </w:t>
      </w:r>
      <w:r w:rsidRPr="00A51C7F">
        <w:rPr>
          <w:sz w:val="24"/>
          <w:szCs w:val="24"/>
        </w:rPr>
        <w:t>and through the different pay grades (vertical occupational segregation). At the University of Leicester, women continue to be overrepresented in lower and middle paid roles and underrepresented in higher paid roles.</w:t>
      </w:r>
    </w:p>
    <w:p w14:paraId="2D89688F" w14:textId="77777777" w:rsidR="00C64C51" w:rsidRPr="00A51C7F" w:rsidRDefault="00C64C51" w:rsidP="001A67A5">
      <w:pPr>
        <w:spacing w:before="118"/>
        <w:ind w:right="95"/>
        <w:rPr>
          <w:sz w:val="24"/>
          <w:szCs w:val="24"/>
        </w:rPr>
      </w:pPr>
      <w:r w:rsidRPr="00A51C7F">
        <w:rPr>
          <w:sz w:val="24"/>
          <w:szCs w:val="24"/>
        </w:rPr>
        <w:t>Higher gender pay gaps across the sector are typically seen in HEIs that are research intensive, that have a medical school and that directly employ manual and ancillary staff. The University has all 3 of these.</w:t>
      </w:r>
    </w:p>
    <w:p w14:paraId="0B7D0141" w14:textId="6577237D" w:rsidR="00C64C51" w:rsidRPr="00A51C7F" w:rsidRDefault="00C64C51" w:rsidP="001A67A5">
      <w:pPr>
        <w:spacing w:before="118"/>
        <w:ind w:right="95"/>
        <w:rPr>
          <w:sz w:val="24"/>
          <w:szCs w:val="24"/>
        </w:rPr>
      </w:pPr>
      <w:r w:rsidRPr="00A51C7F">
        <w:rPr>
          <w:sz w:val="24"/>
          <w:szCs w:val="24"/>
        </w:rPr>
        <w:lastRenderedPageBreak/>
        <w:t>In terms of interrogating the gender pay gap by function, both the mean and median gender pay gaps are significantly higher for academic staff (16.9% mean and 8.5% median) than for professional services staff (we mean and 2.8% median) (Table 3).</w:t>
      </w:r>
    </w:p>
    <w:p w14:paraId="7177900D" w14:textId="77777777" w:rsidR="00D65B42" w:rsidRDefault="00D65B42" w:rsidP="00D65B42">
      <w:pPr>
        <w:ind w:left="709" w:right="237"/>
        <w:rPr>
          <w:i/>
          <w:iCs/>
          <w:sz w:val="20"/>
          <w:szCs w:val="20"/>
        </w:rPr>
      </w:pPr>
    </w:p>
    <w:p w14:paraId="3F9D9336" w14:textId="1814CFE0" w:rsidR="00C64C51" w:rsidRDefault="00061C3D" w:rsidP="00C64C51">
      <w:pPr>
        <w:spacing w:before="118" w:after="240"/>
        <w:ind w:left="709" w:right="237"/>
        <w:rPr>
          <w:i/>
          <w:iCs/>
          <w:sz w:val="20"/>
          <w:szCs w:val="20"/>
        </w:rPr>
      </w:pPr>
      <w:r>
        <w:rPr>
          <w:i/>
          <w:iCs/>
          <w:sz w:val="20"/>
          <w:szCs w:val="20"/>
        </w:rPr>
        <w:t xml:space="preserve">Table 3: </w:t>
      </w:r>
      <w:proofErr w:type="spellStart"/>
      <w:r w:rsidR="00C64C51">
        <w:rPr>
          <w:i/>
          <w:iCs/>
          <w:sz w:val="20"/>
          <w:szCs w:val="20"/>
        </w:rPr>
        <w:t>UoL</w:t>
      </w:r>
      <w:proofErr w:type="spellEnd"/>
      <w:r w:rsidR="00C64C51">
        <w:rPr>
          <w:i/>
          <w:iCs/>
          <w:sz w:val="20"/>
          <w:szCs w:val="20"/>
        </w:rPr>
        <w:t xml:space="preserve"> Gender Pay Gaps 2024 by Function</w:t>
      </w:r>
    </w:p>
    <w:p w14:paraId="3975F8C7" w14:textId="150406DC" w:rsidR="00D65B42" w:rsidRDefault="00D65B42" w:rsidP="00D65B42">
      <w:pPr>
        <w:spacing w:before="118" w:after="240"/>
        <w:ind w:right="237"/>
        <w:jc w:val="center"/>
        <w:rPr>
          <w:rFonts w:eastAsia="Times New Roman" w:cs="Arial"/>
          <w:b/>
          <w:bCs/>
          <w:color w:val="000000" w:themeColor="text1"/>
          <w:sz w:val="28"/>
          <w:szCs w:val="28"/>
          <w:lang w:eastAsia="en-GB"/>
        </w:rPr>
      </w:pPr>
      <w:proofErr w:type="spellStart"/>
      <w:r w:rsidRPr="00400852">
        <w:rPr>
          <w:rFonts w:eastAsia="Times New Roman" w:cs="Arial"/>
          <w:b/>
          <w:bCs/>
          <w:color w:val="000000" w:themeColor="text1"/>
          <w:sz w:val="28"/>
          <w:szCs w:val="28"/>
          <w:lang w:eastAsia="en-GB"/>
        </w:rPr>
        <w:t>UoL</w:t>
      </w:r>
      <w:proofErr w:type="spellEnd"/>
      <w:r w:rsidRPr="00400852">
        <w:rPr>
          <w:rFonts w:eastAsia="Times New Roman" w:cs="Arial"/>
          <w:b/>
          <w:bCs/>
          <w:color w:val="000000" w:themeColor="text1"/>
          <w:sz w:val="28"/>
          <w:szCs w:val="28"/>
          <w:lang w:eastAsia="en-GB"/>
        </w:rPr>
        <w:t xml:space="preserve"> Gender Pay Gaps 2024 by Function</w:t>
      </w:r>
    </w:p>
    <w:p w14:paraId="5687D07B" w14:textId="1E9B27DF" w:rsidR="002A127D" w:rsidRPr="00D65B42" w:rsidRDefault="002A127D" w:rsidP="002A127D">
      <w:pPr>
        <w:spacing w:before="118" w:after="240"/>
        <w:ind w:right="237"/>
        <w:rPr>
          <w:sz w:val="24"/>
          <w:szCs w:val="24"/>
        </w:rPr>
      </w:pPr>
      <w:r>
        <w:rPr>
          <w:noProof/>
        </w:rPr>
        <w:drawing>
          <wp:inline distT="0" distB="0" distL="0" distR="0" wp14:anchorId="41554DFC" wp14:editId="51850D87">
            <wp:extent cx="4972050" cy="1133475"/>
            <wp:effectExtent l="0" t="0" r="0" b="9525"/>
            <wp:docPr id="1" name="Picture 1" descr="UoL Gender Pay Gaps 2024 by Fun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oL Gender Pay Gaps 2024 by Function Table"/>
                    <pic:cNvPicPr/>
                  </pic:nvPicPr>
                  <pic:blipFill>
                    <a:blip r:embed="rId7"/>
                    <a:stretch>
                      <a:fillRect/>
                    </a:stretch>
                  </pic:blipFill>
                  <pic:spPr>
                    <a:xfrm>
                      <a:off x="0" y="0"/>
                      <a:ext cx="4972050" cy="1133475"/>
                    </a:xfrm>
                    <a:prstGeom prst="rect">
                      <a:avLst/>
                    </a:prstGeom>
                  </pic:spPr>
                </pic:pic>
              </a:graphicData>
            </a:graphic>
          </wp:inline>
        </w:drawing>
      </w:r>
    </w:p>
    <w:p w14:paraId="73DE8C81" w14:textId="092FB867" w:rsidR="00C64C51" w:rsidRPr="00A51C7F" w:rsidRDefault="00061C3D" w:rsidP="001A67A5">
      <w:pPr>
        <w:ind w:right="237"/>
        <w:rPr>
          <w:sz w:val="24"/>
          <w:szCs w:val="24"/>
        </w:rPr>
      </w:pPr>
      <w:r w:rsidRPr="00A51C7F">
        <w:rPr>
          <w:sz w:val="24"/>
          <w:szCs w:val="24"/>
        </w:rPr>
        <w:t>T</w:t>
      </w:r>
      <w:r w:rsidR="00C64C51" w:rsidRPr="00A51C7F">
        <w:rPr>
          <w:sz w:val="24"/>
          <w:szCs w:val="24"/>
        </w:rPr>
        <w:t>he grouping, Grades 1-5, has the lowest mean and median gender pay gaps (0.4% mean and 2.4% median) and the Clinical Grade has the highest (17.5% mean and 13.7% median). Grade 10 or Professor Grade also has low mean (4.4%) and median (4.6%) gaps</w:t>
      </w:r>
      <w:r w:rsidRPr="00A51C7F">
        <w:rPr>
          <w:sz w:val="24"/>
          <w:szCs w:val="24"/>
        </w:rPr>
        <w:t xml:space="preserve"> (Table 4)</w:t>
      </w:r>
      <w:r w:rsidR="00C64C51" w:rsidRPr="00A51C7F">
        <w:rPr>
          <w:sz w:val="24"/>
          <w:szCs w:val="24"/>
        </w:rPr>
        <w:t>.</w:t>
      </w:r>
    </w:p>
    <w:p w14:paraId="3BC11A5D" w14:textId="77777777" w:rsidR="00C64C51" w:rsidRDefault="00C64C51" w:rsidP="00C64C51">
      <w:pPr>
        <w:ind w:left="709" w:right="237" w:hanging="709"/>
      </w:pPr>
    </w:p>
    <w:p w14:paraId="7A1D3208" w14:textId="28769502" w:rsidR="00C64C51" w:rsidRDefault="00061C3D" w:rsidP="00C64C51">
      <w:pPr>
        <w:spacing w:before="118" w:after="240"/>
        <w:ind w:left="709" w:right="237"/>
        <w:rPr>
          <w:i/>
          <w:iCs/>
          <w:sz w:val="20"/>
          <w:szCs w:val="20"/>
        </w:rPr>
      </w:pPr>
      <w:r>
        <w:rPr>
          <w:i/>
          <w:iCs/>
          <w:sz w:val="20"/>
          <w:szCs w:val="20"/>
        </w:rPr>
        <w:t xml:space="preserve">Table 4: </w:t>
      </w:r>
      <w:r w:rsidR="00C64C51" w:rsidRPr="000E1BCA">
        <w:rPr>
          <w:i/>
          <w:iCs/>
          <w:sz w:val="20"/>
          <w:szCs w:val="20"/>
        </w:rPr>
        <w:t>UoL Gender Pay Gaps 2024 by Grade Groupings</w:t>
      </w:r>
    </w:p>
    <w:p w14:paraId="683F42C5" w14:textId="36D05A76" w:rsidR="00D65B42" w:rsidRDefault="00D65B42" w:rsidP="00D65B42">
      <w:pPr>
        <w:spacing w:before="118" w:after="240"/>
        <w:ind w:right="237"/>
        <w:jc w:val="center"/>
        <w:rPr>
          <w:rFonts w:eastAsia="Times New Roman" w:cs="Arial"/>
          <w:b/>
          <w:bCs/>
          <w:color w:val="000000" w:themeColor="text1"/>
          <w:sz w:val="28"/>
          <w:szCs w:val="28"/>
          <w:lang w:eastAsia="en-GB"/>
        </w:rPr>
      </w:pPr>
      <w:proofErr w:type="spellStart"/>
      <w:r w:rsidRPr="00400852">
        <w:rPr>
          <w:rFonts w:eastAsia="Times New Roman" w:cs="Arial"/>
          <w:b/>
          <w:bCs/>
          <w:color w:val="000000" w:themeColor="text1"/>
          <w:sz w:val="28"/>
          <w:szCs w:val="28"/>
          <w:lang w:eastAsia="en-GB"/>
        </w:rPr>
        <w:t>UoL</w:t>
      </w:r>
      <w:proofErr w:type="spellEnd"/>
      <w:r w:rsidRPr="00400852">
        <w:rPr>
          <w:rFonts w:eastAsia="Times New Roman" w:cs="Arial"/>
          <w:b/>
          <w:bCs/>
          <w:color w:val="000000" w:themeColor="text1"/>
          <w:sz w:val="28"/>
          <w:szCs w:val="28"/>
          <w:lang w:eastAsia="en-GB"/>
        </w:rPr>
        <w:t xml:space="preserve"> Gender Pay Gaps 2024 by Grade</w:t>
      </w:r>
    </w:p>
    <w:p w14:paraId="722B1F35" w14:textId="7E60767A" w:rsidR="002A127D" w:rsidRPr="002A127D" w:rsidRDefault="002A127D" w:rsidP="002A127D">
      <w:pPr>
        <w:spacing w:before="118" w:after="240"/>
        <w:ind w:right="237"/>
      </w:pPr>
      <w:r>
        <w:rPr>
          <w:noProof/>
        </w:rPr>
        <w:drawing>
          <wp:inline distT="0" distB="0" distL="0" distR="0" wp14:anchorId="55AE32CF" wp14:editId="279E6753">
            <wp:extent cx="5019675" cy="1704975"/>
            <wp:effectExtent l="0" t="0" r="9525" b="9525"/>
            <wp:docPr id="3" name="Picture 3" descr="UoL Gender Pay Gaps 2024 by Gra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oL Gender Pay Gaps 2024 by Grade Table"/>
                    <pic:cNvPicPr/>
                  </pic:nvPicPr>
                  <pic:blipFill>
                    <a:blip r:embed="rId8"/>
                    <a:stretch>
                      <a:fillRect/>
                    </a:stretch>
                  </pic:blipFill>
                  <pic:spPr>
                    <a:xfrm>
                      <a:off x="0" y="0"/>
                      <a:ext cx="5019675" cy="1704975"/>
                    </a:xfrm>
                    <a:prstGeom prst="rect">
                      <a:avLst/>
                    </a:prstGeom>
                  </pic:spPr>
                </pic:pic>
              </a:graphicData>
            </a:graphic>
          </wp:inline>
        </w:drawing>
      </w:r>
    </w:p>
    <w:p w14:paraId="1DCB9C4E" w14:textId="77777777" w:rsidR="00C64C51" w:rsidRPr="00A51C7F" w:rsidRDefault="00C64C51" w:rsidP="001A67A5">
      <w:pPr>
        <w:ind w:right="237"/>
        <w:rPr>
          <w:sz w:val="24"/>
          <w:szCs w:val="24"/>
        </w:rPr>
      </w:pPr>
      <w:r w:rsidRPr="00A51C7F">
        <w:rPr>
          <w:sz w:val="24"/>
          <w:szCs w:val="24"/>
          <w:u w:val="single"/>
        </w:rPr>
        <w:t>Ethnicity Pay Gap</w:t>
      </w:r>
      <w:r w:rsidRPr="00A51C7F">
        <w:rPr>
          <w:sz w:val="24"/>
          <w:szCs w:val="24"/>
        </w:rPr>
        <w:t xml:space="preserve">: The University’s 2024 mean ethnicity pay gap is 9.5% (a decrease of 2.5 percentage points from 12.0% in 2023), and the median ethnicity pay gap is 14.3% (an increase of 1.0 percentage point from 13.3% in 2023). </w:t>
      </w:r>
    </w:p>
    <w:p w14:paraId="27380B9E" w14:textId="77777777" w:rsidR="00C64C51" w:rsidRDefault="00C64C51" w:rsidP="00C64C51">
      <w:pPr>
        <w:spacing w:before="118"/>
        <w:ind w:left="709" w:right="-46"/>
      </w:pPr>
      <w:r>
        <w:rPr>
          <w:noProof/>
        </w:rPr>
        <w:drawing>
          <wp:inline distT="0" distB="0" distL="0" distR="0" wp14:anchorId="5A1CEC3E" wp14:editId="229FF33F">
            <wp:extent cx="2085975" cy="1181100"/>
            <wp:effectExtent l="0" t="0" r="9525" b="0"/>
            <wp:docPr id="1731200647" name="Picture 1731200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647" name="Picture 1731200647">
                      <a:extLst>
                        <a:ext uri="{C183D7F6-B498-43B3-948B-1728B52AA6E4}">
                          <adec:decorative xmlns:adec="http://schemas.microsoft.com/office/drawing/2017/decorative" val="1"/>
                        </a:ext>
                      </a:extLst>
                    </pic:cNvPr>
                    <pic:cNvPicPr/>
                  </pic:nvPicPr>
                  <pic:blipFill>
                    <a:blip r:embed="rId9"/>
                    <a:stretch>
                      <a:fillRect/>
                    </a:stretch>
                  </pic:blipFill>
                  <pic:spPr>
                    <a:xfrm>
                      <a:off x="0" y="0"/>
                      <a:ext cx="2085975" cy="1181100"/>
                    </a:xfrm>
                    <a:prstGeom prst="rect">
                      <a:avLst/>
                    </a:prstGeom>
                  </pic:spPr>
                </pic:pic>
              </a:graphicData>
            </a:graphic>
          </wp:inline>
        </w:drawing>
      </w:r>
      <w:r w:rsidRPr="00B75370">
        <w:rPr>
          <w:noProof/>
        </w:rPr>
        <w:t xml:space="preserve"> </w:t>
      </w:r>
      <w:r>
        <w:rPr>
          <w:noProof/>
        </w:rPr>
        <w:drawing>
          <wp:inline distT="0" distB="0" distL="0" distR="0" wp14:anchorId="6D4380DD" wp14:editId="51B39B57">
            <wp:extent cx="2371725" cy="1209675"/>
            <wp:effectExtent l="0" t="0" r="9525" b="9525"/>
            <wp:docPr id="1731200648" name="Picture 1731200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648" name="Picture 1731200648">
                      <a:extLst>
                        <a:ext uri="{C183D7F6-B498-43B3-948B-1728B52AA6E4}">
                          <adec:decorative xmlns:adec="http://schemas.microsoft.com/office/drawing/2017/decorative" val="1"/>
                        </a:ext>
                      </a:extLst>
                    </pic:cNvPr>
                    <pic:cNvPicPr/>
                  </pic:nvPicPr>
                  <pic:blipFill>
                    <a:blip r:embed="rId10"/>
                    <a:stretch>
                      <a:fillRect/>
                    </a:stretch>
                  </pic:blipFill>
                  <pic:spPr>
                    <a:xfrm>
                      <a:off x="0" y="0"/>
                      <a:ext cx="2371725" cy="1209675"/>
                    </a:xfrm>
                    <a:prstGeom prst="rect">
                      <a:avLst/>
                    </a:prstGeom>
                  </pic:spPr>
                </pic:pic>
              </a:graphicData>
            </a:graphic>
          </wp:inline>
        </w:drawing>
      </w:r>
    </w:p>
    <w:p w14:paraId="2246CAD9" w14:textId="4E1AF69B" w:rsidR="00C64C51" w:rsidRPr="00A51C7F" w:rsidRDefault="00C64C51" w:rsidP="00C64C51">
      <w:pPr>
        <w:spacing w:before="118"/>
        <w:ind w:right="237"/>
        <w:rPr>
          <w:sz w:val="24"/>
          <w:szCs w:val="24"/>
        </w:rPr>
      </w:pPr>
      <w:r w:rsidRPr="00A51C7F">
        <w:rPr>
          <w:sz w:val="24"/>
          <w:szCs w:val="24"/>
        </w:rPr>
        <w:t xml:space="preserve">The mean ethnicity pay gap for academic staff is considerably lower (9.4%) than for professional services staff (15.8%) but the median ethnicity </w:t>
      </w:r>
      <w:proofErr w:type="gramStart"/>
      <w:r w:rsidRPr="00A51C7F">
        <w:rPr>
          <w:sz w:val="24"/>
          <w:szCs w:val="24"/>
        </w:rPr>
        <w:t>pay</w:t>
      </w:r>
      <w:proofErr w:type="gramEnd"/>
      <w:r w:rsidRPr="00A51C7F">
        <w:rPr>
          <w:sz w:val="24"/>
          <w:szCs w:val="24"/>
        </w:rPr>
        <w:t xml:space="preserve"> gaps for both staff groupings is very similar (13.6% for academic staff and 13.0% for professional services </w:t>
      </w:r>
      <w:r w:rsidRPr="00A51C7F">
        <w:rPr>
          <w:sz w:val="24"/>
          <w:szCs w:val="24"/>
        </w:rPr>
        <w:lastRenderedPageBreak/>
        <w:t xml:space="preserve">staff) (Table </w:t>
      </w:r>
      <w:r w:rsidR="00061C3D" w:rsidRPr="00A51C7F">
        <w:rPr>
          <w:sz w:val="24"/>
          <w:szCs w:val="24"/>
        </w:rPr>
        <w:t>5</w:t>
      </w:r>
      <w:r w:rsidRPr="00A51C7F">
        <w:rPr>
          <w:sz w:val="24"/>
          <w:szCs w:val="24"/>
        </w:rPr>
        <w:t>).</w:t>
      </w:r>
    </w:p>
    <w:p w14:paraId="10E0B5E2" w14:textId="77777777" w:rsidR="00C64C51" w:rsidRPr="00A51C7F" w:rsidRDefault="00C64C51" w:rsidP="00C64C51">
      <w:pPr>
        <w:spacing w:before="118"/>
        <w:ind w:right="237"/>
        <w:rPr>
          <w:sz w:val="24"/>
          <w:szCs w:val="24"/>
        </w:rPr>
      </w:pPr>
    </w:p>
    <w:p w14:paraId="17AE6AC8" w14:textId="02EEAC74" w:rsidR="00C64C51" w:rsidRDefault="00061C3D" w:rsidP="00C64C51">
      <w:pPr>
        <w:spacing w:before="118"/>
        <w:ind w:left="709" w:right="237"/>
        <w:rPr>
          <w:i/>
          <w:iCs/>
          <w:sz w:val="20"/>
          <w:szCs w:val="20"/>
        </w:rPr>
      </w:pPr>
      <w:r>
        <w:rPr>
          <w:i/>
          <w:iCs/>
          <w:sz w:val="20"/>
          <w:szCs w:val="20"/>
        </w:rPr>
        <w:t xml:space="preserve">Table 5: </w:t>
      </w:r>
      <w:r w:rsidR="00C64C51" w:rsidRPr="000E1BCA">
        <w:rPr>
          <w:i/>
          <w:iCs/>
          <w:sz w:val="20"/>
          <w:szCs w:val="20"/>
        </w:rPr>
        <w:t>UoL Ethnicity Pay Gaps by Function</w:t>
      </w:r>
    </w:p>
    <w:p w14:paraId="195A94B1" w14:textId="2C60A779" w:rsidR="002A127D" w:rsidRDefault="002A127D" w:rsidP="002A127D">
      <w:pPr>
        <w:spacing w:before="118"/>
        <w:ind w:right="237"/>
        <w:jc w:val="center"/>
        <w:rPr>
          <w:rFonts w:eastAsia="Times New Roman" w:cs="Arial"/>
          <w:b/>
          <w:bCs/>
          <w:color w:val="000000" w:themeColor="text1"/>
          <w:sz w:val="28"/>
          <w:szCs w:val="28"/>
          <w:lang w:eastAsia="en-GB"/>
        </w:rPr>
      </w:pPr>
      <w:proofErr w:type="spellStart"/>
      <w:r w:rsidRPr="00400852">
        <w:rPr>
          <w:rFonts w:eastAsia="Times New Roman" w:cs="Arial"/>
          <w:b/>
          <w:bCs/>
          <w:color w:val="000000" w:themeColor="text1"/>
          <w:sz w:val="28"/>
          <w:szCs w:val="28"/>
          <w:lang w:eastAsia="en-GB"/>
        </w:rPr>
        <w:t>UoL</w:t>
      </w:r>
      <w:proofErr w:type="spellEnd"/>
      <w:r w:rsidRPr="00400852">
        <w:rPr>
          <w:rFonts w:eastAsia="Times New Roman" w:cs="Arial"/>
          <w:b/>
          <w:bCs/>
          <w:color w:val="000000" w:themeColor="text1"/>
          <w:sz w:val="28"/>
          <w:szCs w:val="28"/>
          <w:lang w:eastAsia="en-GB"/>
        </w:rPr>
        <w:t xml:space="preserve"> Ethnicity Pay Gaps 2024 by Function</w:t>
      </w:r>
    </w:p>
    <w:p w14:paraId="13058DEC" w14:textId="41C6C5D8" w:rsidR="002A127D" w:rsidRPr="002A127D" w:rsidRDefault="002A127D" w:rsidP="002A127D">
      <w:pPr>
        <w:spacing w:before="118"/>
        <w:ind w:right="237"/>
        <w:rPr>
          <w:sz w:val="24"/>
          <w:szCs w:val="24"/>
        </w:rPr>
      </w:pPr>
      <w:r>
        <w:rPr>
          <w:noProof/>
        </w:rPr>
        <w:drawing>
          <wp:inline distT="0" distB="0" distL="0" distR="0" wp14:anchorId="01A0B874" wp14:editId="4027430A">
            <wp:extent cx="4972050" cy="1133475"/>
            <wp:effectExtent l="0" t="0" r="0" b="9525"/>
            <wp:docPr id="4" name="Picture 4" descr="UoL Ethnicity Pay Gaps 2024 by Fun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oL Ethnicity Pay Gaps 2024 by Function Table"/>
                    <pic:cNvPicPr/>
                  </pic:nvPicPr>
                  <pic:blipFill>
                    <a:blip r:embed="rId11"/>
                    <a:stretch>
                      <a:fillRect/>
                    </a:stretch>
                  </pic:blipFill>
                  <pic:spPr>
                    <a:xfrm>
                      <a:off x="0" y="0"/>
                      <a:ext cx="4972050" cy="1133475"/>
                    </a:xfrm>
                    <a:prstGeom prst="rect">
                      <a:avLst/>
                    </a:prstGeom>
                  </pic:spPr>
                </pic:pic>
              </a:graphicData>
            </a:graphic>
          </wp:inline>
        </w:drawing>
      </w:r>
    </w:p>
    <w:p w14:paraId="04FEB1B6" w14:textId="77777777" w:rsidR="00C64C51" w:rsidRDefault="00C64C51" w:rsidP="00C64C51">
      <w:pPr>
        <w:spacing w:before="118"/>
        <w:ind w:right="237"/>
      </w:pPr>
    </w:p>
    <w:p w14:paraId="39F43E94" w14:textId="3DEB5451" w:rsidR="00C64C51" w:rsidRPr="00A51C7F" w:rsidRDefault="00C64C51" w:rsidP="001A67A5">
      <w:pPr>
        <w:rPr>
          <w:sz w:val="24"/>
          <w:szCs w:val="24"/>
        </w:rPr>
      </w:pPr>
      <w:r w:rsidRPr="00A51C7F">
        <w:rPr>
          <w:rFonts w:asciiTheme="minorHAnsi" w:eastAsia="Times New Roman" w:hAnsiTheme="minorHAnsi" w:cs="Arial"/>
          <w:color w:val="000000" w:themeColor="text1"/>
          <w:sz w:val="24"/>
          <w:szCs w:val="24"/>
          <w:lang w:eastAsia="en-GB"/>
        </w:rPr>
        <w:t xml:space="preserve">When analysing by staff grade groupings, </w:t>
      </w:r>
      <w:r w:rsidRPr="00A51C7F">
        <w:rPr>
          <w:sz w:val="24"/>
          <w:szCs w:val="24"/>
        </w:rPr>
        <w:t xml:space="preserve">Grade 10 or Professor has the lowest mean and median ethnicity pay gaps (-0.9% mean and 0.5% median) and the Clinical Grade, again, has the highest (13.9% mean and 11.0% median) (Table </w:t>
      </w:r>
      <w:r w:rsidR="00061C3D" w:rsidRPr="00A51C7F">
        <w:rPr>
          <w:sz w:val="24"/>
          <w:szCs w:val="24"/>
        </w:rPr>
        <w:t>6</w:t>
      </w:r>
      <w:r w:rsidRPr="00A51C7F">
        <w:rPr>
          <w:sz w:val="24"/>
          <w:szCs w:val="24"/>
        </w:rPr>
        <w:t xml:space="preserve">). </w:t>
      </w:r>
    </w:p>
    <w:p w14:paraId="4646A03A" w14:textId="77777777" w:rsidR="00AD3846" w:rsidRDefault="00AD3846" w:rsidP="00C64C51">
      <w:pPr>
        <w:spacing w:before="118"/>
        <w:ind w:left="709" w:right="237"/>
        <w:rPr>
          <w:i/>
          <w:iCs/>
          <w:sz w:val="20"/>
          <w:szCs w:val="20"/>
        </w:rPr>
      </w:pPr>
    </w:p>
    <w:p w14:paraId="6A1174BA" w14:textId="2C90C143" w:rsidR="00C64C51" w:rsidRPr="000E1BCA" w:rsidRDefault="00061C3D" w:rsidP="00C64C51">
      <w:pPr>
        <w:spacing w:before="118"/>
        <w:ind w:left="709" w:right="237"/>
        <w:rPr>
          <w:i/>
          <w:iCs/>
          <w:sz w:val="20"/>
          <w:szCs w:val="20"/>
        </w:rPr>
      </w:pPr>
      <w:r>
        <w:rPr>
          <w:i/>
          <w:iCs/>
          <w:sz w:val="20"/>
          <w:szCs w:val="20"/>
        </w:rPr>
        <w:t xml:space="preserve">Table 6: </w:t>
      </w:r>
      <w:r w:rsidR="00C64C51" w:rsidRPr="000E1BCA">
        <w:rPr>
          <w:i/>
          <w:iCs/>
          <w:sz w:val="20"/>
          <w:szCs w:val="20"/>
        </w:rPr>
        <w:t>UoL Ethnicity Pay Gaps 2024 by Grade Groupings</w:t>
      </w:r>
    </w:p>
    <w:p w14:paraId="3AB7EFEB" w14:textId="3D43A5C2" w:rsidR="00C64C51" w:rsidRDefault="00B300E8" w:rsidP="00B300E8">
      <w:pPr>
        <w:ind w:right="237"/>
        <w:jc w:val="center"/>
        <w:rPr>
          <w:rFonts w:eastAsia="Times New Roman" w:cs="Arial"/>
          <w:b/>
          <w:bCs/>
          <w:color w:val="000000" w:themeColor="text1"/>
          <w:sz w:val="28"/>
          <w:szCs w:val="28"/>
          <w:lang w:eastAsia="en-GB"/>
        </w:rPr>
      </w:pPr>
      <w:proofErr w:type="spellStart"/>
      <w:r w:rsidRPr="00400852">
        <w:rPr>
          <w:rFonts w:eastAsia="Times New Roman" w:cs="Arial"/>
          <w:b/>
          <w:bCs/>
          <w:color w:val="000000" w:themeColor="text1"/>
          <w:sz w:val="28"/>
          <w:szCs w:val="28"/>
          <w:lang w:eastAsia="en-GB"/>
        </w:rPr>
        <w:t>UoL</w:t>
      </w:r>
      <w:proofErr w:type="spellEnd"/>
      <w:r w:rsidRPr="00400852">
        <w:rPr>
          <w:rFonts w:eastAsia="Times New Roman" w:cs="Arial"/>
          <w:b/>
          <w:bCs/>
          <w:color w:val="000000" w:themeColor="text1"/>
          <w:sz w:val="28"/>
          <w:szCs w:val="28"/>
          <w:lang w:eastAsia="en-GB"/>
        </w:rPr>
        <w:t xml:space="preserve"> Ethnicity Pay Gaps 2024 by Grade</w:t>
      </w:r>
    </w:p>
    <w:p w14:paraId="673AD61F" w14:textId="73B16653" w:rsidR="00B300E8" w:rsidRDefault="00B300E8" w:rsidP="00B300E8">
      <w:pPr>
        <w:ind w:right="237"/>
        <w:rPr>
          <w:rFonts w:eastAsia="Times New Roman"/>
          <w:lang w:eastAsia="en-GB"/>
        </w:rPr>
      </w:pPr>
      <w:r>
        <w:rPr>
          <w:noProof/>
        </w:rPr>
        <w:drawing>
          <wp:inline distT="0" distB="0" distL="0" distR="0" wp14:anchorId="77AF7B6E" wp14:editId="29ECEBC6">
            <wp:extent cx="5010150" cy="1581150"/>
            <wp:effectExtent l="0" t="0" r="0" b="0"/>
            <wp:docPr id="5" name="Picture 5" descr="UoL Ethnicity Pay Gaps 2024 by Gra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oL Ethnicity Pay Gaps 2024 by Grade Table"/>
                    <pic:cNvPicPr/>
                  </pic:nvPicPr>
                  <pic:blipFill>
                    <a:blip r:embed="rId12"/>
                    <a:stretch>
                      <a:fillRect/>
                    </a:stretch>
                  </pic:blipFill>
                  <pic:spPr>
                    <a:xfrm>
                      <a:off x="0" y="0"/>
                      <a:ext cx="5010150" cy="1581150"/>
                    </a:xfrm>
                    <a:prstGeom prst="rect">
                      <a:avLst/>
                    </a:prstGeom>
                  </pic:spPr>
                </pic:pic>
              </a:graphicData>
            </a:graphic>
          </wp:inline>
        </w:drawing>
      </w:r>
    </w:p>
    <w:p w14:paraId="6ED0CE40" w14:textId="77777777" w:rsidR="002A127D" w:rsidRPr="00B016CC" w:rsidRDefault="002A127D" w:rsidP="00C64C51">
      <w:pPr>
        <w:ind w:right="237"/>
        <w:rPr>
          <w:rFonts w:eastAsia="Times New Roman"/>
          <w:lang w:eastAsia="en-GB"/>
        </w:rPr>
      </w:pPr>
    </w:p>
    <w:p w14:paraId="5E710EA1" w14:textId="77777777" w:rsidR="00C64C51" w:rsidRPr="00A51C7F" w:rsidRDefault="00C64C51" w:rsidP="001A67A5">
      <w:pPr>
        <w:spacing w:before="118"/>
        <w:ind w:right="237"/>
        <w:rPr>
          <w:sz w:val="24"/>
          <w:szCs w:val="24"/>
        </w:rPr>
      </w:pPr>
      <w:r w:rsidRPr="00A51C7F">
        <w:rPr>
          <w:sz w:val="24"/>
          <w:szCs w:val="24"/>
          <w:u w:val="single"/>
        </w:rPr>
        <w:t>Disability Pay Gap</w:t>
      </w:r>
      <w:r w:rsidRPr="00A51C7F">
        <w:rPr>
          <w:sz w:val="24"/>
          <w:szCs w:val="24"/>
        </w:rPr>
        <w:t xml:space="preserve">: The University’s 2024 mean disability pay gap is 14.8% (an increase of 5.6 percentage points from 9.2% in 2023), and the median disability pay gap is 19.2% (a decrease of 0.3 percentage point from 19.5% in 2023). </w:t>
      </w:r>
    </w:p>
    <w:p w14:paraId="324B1EA4" w14:textId="77777777" w:rsidR="00C64C51" w:rsidRDefault="00C64C51" w:rsidP="00C64C51">
      <w:pPr>
        <w:spacing w:before="118"/>
        <w:ind w:left="426" w:right="237"/>
        <w:rPr>
          <w:noProof/>
        </w:rPr>
      </w:pPr>
      <w:r>
        <w:rPr>
          <w:noProof/>
        </w:rPr>
        <w:drawing>
          <wp:inline distT="0" distB="0" distL="0" distR="0" wp14:anchorId="725B3896" wp14:editId="3096C67C">
            <wp:extent cx="2428875" cy="1447800"/>
            <wp:effectExtent l="0" t="0" r="9525" b="0"/>
            <wp:docPr id="1731200649" name="Picture 1731200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649" name="Picture 1731200649">
                      <a:extLst>
                        <a:ext uri="{C183D7F6-B498-43B3-948B-1728B52AA6E4}">
                          <adec:decorative xmlns:adec="http://schemas.microsoft.com/office/drawing/2017/decorative" val="1"/>
                        </a:ext>
                      </a:extLst>
                    </pic:cNvPr>
                    <pic:cNvPicPr/>
                  </pic:nvPicPr>
                  <pic:blipFill>
                    <a:blip r:embed="rId13"/>
                    <a:stretch>
                      <a:fillRect/>
                    </a:stretch>
                  </pic:blipFill>
                  <pic:spPr>
                    <a:xfrm>
                      <a:off x="0" y="0"/>
                      <a:ext cx="2428875" cy="1447800"/>
                    </a:xfrm>
                    <a:prstGeom prst="rect">
                      <a:avLst/>
                    </a:prstGeom>
                  </pic:spPr>
                </pic:pic>
              </a:graphicData>
            </a:graphic>
          </wp:inline>
        </w:drawing>
      </w:r>
      <w:r w:rsidRPr="00B75370">
        <w:rPr>
          <w:noProof/>
        </w:rPr>
        <w:t xml:space="preserve"> </w:t>
      </w:r>
      <w:r>
        <w:rPr>
          <w:noProof/>
        </w:rPr>
        <w:drawing>
          <wp:inline distT="0" distB="0" distL="0" distR="0" wp14:anchorId="23493D6B" wp14:editId="4BC5F874">
            <wp:extent cx="2524125" cy="1295400"/>
            <wp:effectExtent l="0" t="0" r="9525" b="0"/>
            <wp:docPr id="1731200650" name="Picture 1731200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650" name="Picture 1731200650">
                      <a:extLst>
                        <a:ext uri="{C183D7F6-B498-43B3-948B-1728B52AA6E4}">
                          <adec:decorative xmlns:adec="http://schemas.microsoft.com/office/drawing/2017/decorative" val="1"/>
                        </a:ext>
                      </a:extLst>
                    </pic:cNvPr>
                    <pic:cNvPicPr/>
                  </pic:nvPicPr>
                  <pic:blipFill>
                    <a:blip r:embed="rId14"/>
                    <a:stretch>
                      <a:fillRect/>
                    </a:stretch>
                  </pic:blipFill>
                  <pic:spPr>
                    <a:xfrm>
                      <a:off x="0" y="0"/>
                      <a:ext cx="2524125" cy="1295400"/>
                    </a:xfrm>
                    <a:prstGeom prst="rect">
                      <a:avLst/>
                    </a:prstGeom>
                  </pic:spPr>
                </pic:pic>
              </a:graphicData>
            </a:graphic>
          </wp:inline>
        </w:drawing>
      </w:r>
    </w:p>
    <w:p w14:paraId="06E33F7D" w14:textId="2D28C673" w:rsidR="00C64C51" w:rsidRPr="00A51C7F" w:rsidRDefault="00C64C51" w:rsidP="001A67A5">
      <w:pPr>
        <w:spacing w:before="118"/>
        <w:ind w:right="237"/>
        <w:rPr>
          <w:noProof/>
          <w:sz w:val="24"/>
          <w:szCs w:val="24"/>
        </w:rPr>
      </w:pPr>
      <w:r w:rsidRPr="00A51C7F">
        <w:rPr>
          <w:noProof/>
          <w:sz w:val="24"/>
          <w:szCs w:val="24"/>
        </w:rPr>
        <w:t xml:space="preserve">The mean and median disability pay gaps are lower for academic staff (mean 6.9% and median 1.8%) than for professional services staff (mean 9.1% and median 9.7%) (Table 7). </w:t>
      </w:r>
    </w:p>
    <w:p w14:paraId="665818E4" w14:textId="77777777" w:rsidR="00AD3846" w:rsidRDefault="00AD3846" w:rsidP="00C64C51">
      <w:pPr>
        <w:spacing w:before="118" w:after="240"/>
        <w:ind w:left="709" w:right="237"/>
        <w:rPr>
          <w:i/>
          <w:iCs/>
          <w:sz w:val="20"/>
          <w:szCs w:val="20"/>
        </w:rPr>
      </w:pPr>
    </w:p>
    <w:p w14:paraId="570763F1" w14:textId="011DCF6B" w:rsidR="00C64C51" w:rsidRDefault="00061C3D" w:rsidP="00C64C51">
      <w:pPr>
        <w:spacing w:before="118" w:after="240"/>
        <w:ind w:left="709" w:right="237"/>
        <w:rPr>
          <w:i/>
          <w:iCs/>
          <w:sz w:val="20"/>
          <w:szCs w:val="20"/>
        </w:rPr>
      </w:pPr>
      <w:r>
        <w:rPr>
          <w:i/>
          <w:iCs/>
          <w:sz w:val="20"/>
          <w:szCs w:val="20"/>
        </w:rPr>
        <w:t xml:space="preserve">Table 7: </w:t>
      </w:r>
      <w:r w:rsidR="00C64C51">
        <w:rPr>
          <w:i/>
          <w:iCs/>
          <w:sz w:val="20"/>
          <w:szCs w:val="20"/>
        </w:rPr>
        <w:t>UoL Disability Pay Gaps 2024 by Function</w:t>
      </w:r>
    </w:p>
    <w:p w14:paraId="6FAAF018" w14:textId="5DC5C2B0" w:rsidR="00B300E8" w:rsidRDefault="00B300E8" w:rsidP="00B300E8">
      <w:pPr>
        <w:spacing w:before="118" w:after="240"/>
        <w:ind w:right="237"/>
        <w:jc w:val="center"/>
        <w:rPr>
          <w:rFonts w:eastAsia="Times New Roman" w:cs="Arial"/>
          <w:b/>
          <w:bCs/>
          <w:color w:val="000000" w:themeColor="text1"/>
          <w:sz w:val="28"/>
          <w:szCs w:val="28"/>
          <w:lang w:eastAsia="en-GB"/>
        </w:rPr>
      </w:pPr>
      <w:proofErr w:type="spellStart"/>
      <w:r w:rsidRPr="001F5AEA">
        <w:rPr>
          <w:rFonts w:eastAsia="Times New Roman" w:cs="Arial"/>
          <w:b/>
          <w:bCs/>
          <w:color w:val="000000" w:themeColor="text1"/>
          <w:sz w:val="28"/>
          <w:szCs w:val="28"/>
          <w:lang w:eastAsia="en-GB"/>
        </w:rPr>
        <w:lastRenderedPageBreak/>
        <w:t>UoL</w:t>
      </w:r>
      <w:proofErr w:type="spellEnd"/>
      <w:r w:rsidRPr="001F5AEA">
        <w:rPr>
          <w:rFonts w:eastAsia="Times New Roman" w:cs="Arial"/>
          <w:b/>
          <w:bCs/>
          <w:color w:val="000000" w:themeColor="text1"/>
          <w:sz w:val="28"/>
          <w:szCs w:val="28"/>
          <w:lang w:eastAsia="en-GB"/>
        </w:rPr>
        <w:t xml:space="preserve"> Disability Pay Gaps 2024 by Function</w:t>
      </w:r>
    </w:p>
    <w:p w14:paraId="06CAC850" w14:textId="67D2B12E" w:rsidR="00B300E8" w:rsidRPr="00B300E8" w:rsidRDefault="00B300E8" w:rsidP="00B300E8">
      <w:pPr>
        <w:spacing w:before="118" w:after="240"/>
        <w:ind w:right="237"/>
        <w:rPr>
          <w:sz w:val="24"/>
          <w:szCs w:val="24"/>
        </w:rPr>
      </w:pPr>
      <w:r>
        <w:rPr>
          <w:noProof/>
        </w:rPr>
        <w:drawing>
          <wp:inline distT="0" distB="0" distL="0" distR="0" wp14:anchorId="18E41F1C" wp14:editId="0D1ED021">
            <wp:extent cx="4991100" cy="1190625"/>
            <wp:effectExtent l="0" t="0" r="0" b="9525"/>
            <wp:docPr id="6" name="Picture 6" descr="UoL Disability Pay Gaps 2024 by Fun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oL Disability Pay Gaps 2024 by Function Table"/>
                    <pic:cNvPicPr/>
                  </pic:nvPicPr>
                  <pic:blipFill>
                    <a:blip r:embed="rId15"/>
                    <a:stretch>
                      <a:fillRect/>
                    </a:stretch>
                  </pic:blipFill>
                  <pic:spPr>
                    <a:xfrm>
                      <a:off x="0" y="0"/>
                      <a:ext cx="4991100" cy="1190625"/>
                    </a:xfrm>
                    <a:prstGeom prst="rect">
                      <a:avLst/>
                    </a:prstGeom>
                  </pic:spPr>
                </pic:pic>
              </a:graphicData>
            </a:graphic>
          </wp:inline>
        </w:drawing>
      </w:r>
    </w:p>
    <w:p w14:paraId="4637436E" w14:textId="1C04A6E5" w:rsidR="00C64C51" w:rsidRPr="00A51C7F" w:rsidRDefault="00C64C51" w:rsidP="001A67A5">
      <w:pPr>
        <w:spacing w:before="118"/>
        <w:ind w:right="237"/>
        <w:rPr>
          <w:sz w:val="24"/>
          <w:szCs w:val="24"/>
        </w:rPr>
      </w:pPr>
      <w:r w:rsidRPr="00A51C7F">
        <w:rPr>
          <w:rFonts w:asciiTheme="minorHAnsi" w:eastAsia="Times New Roman" w:hAnsiTheme="minorHAnsi" w:cs="Arial"/>
          <w:color w:val="000000" w:themeColor="text1"/>
          <w:sz w:val="24"/>
          <w:szCs w:val="24"/>
          <w:lang w:eastAsia="en-GB"/>
        </w:rPr>
        <w:t xml:space="preserve">When </w:t>
      </w:r>
      <w:proofErr w:type="spellStart"/>
      <w:r w:rsidRPr="00A51C7F">
        <w:rPr>
          <w:rFonts w:asciiTheme="minorHAnsi" w:eastAsia="Times New Roman" w:hAnsiTheme="minorHAnsi" w:cs="Arial"/>
          <w:color w:val="000000" w:themeColor="text1"/>
          <w:sz w:val="24"/>
          <w:szCs w:val="24"/>
          <w:lang w:eastAsia="en-GB"/>
        </w:rPr>
        <w:t>analysing</w:t>
      </w:r>
      <w:proofErr w:type="spellEnd"/>
      <w:r w:rsidRPr="00A51C7F">
        <w:rPr>
          <w:rFonts w:asciiTheme="minorHAnsi" w:eastAsia="Times New Roman" w:hAnsiTheme="minorHAnsi" w:cs="Arial"/>
          <w:color w:val="000000" w:themeColor="text1"/>
          <w:sz w:val="24"/>
          <w:szCs w:val="24"/>
          <w:lang w:eastAsia="en-GB"/>
        </w:rPr>
        <w:t xml:space="preserve"> by staff grade groupings, </w:t>
      </w:r>
      <w:r w:rsidRPr="00A51C7F">
        <w:rPr>
          <w:sz w:val="24"/>
          <w:szCs w:val="24"/>
        </w:rPr>
        <w:t>Grade 10 or Professor has the lowest mean and median disability pay gaps (0.9% mean and 0.1% median) and the Clinical Grade has the highest (16.5% mean and 17.8% median) but the small number of disabled staff (#2) is noted in the Clinical Grade grouping (Table 8).</w:t>
      </w:r>
    </w:p>
    <w:p w14:paraId="5122B5A4" w14:textId="77777777" w:rsidR="00C64C51" w:rsidRDefault="00C64C51" w:rsidP="00C64C51">
      <w:pPr>
        <w:pStyle w:val="ListParagraph"/>
        <w:spacing w:before="118"/>
        <w:ind w:left="720" w:right="237" w:firstLine="0"/>
      </w:pPr>
    </w:p>
    <w:p w14:paraId="3B9F36E2" w14:textId="72233F80" w:rsidR="00C64C51" w:rsidRDefault="00061C3D" w:rsidP="00C64C51">
      <w:pPr>
        <w:spacing w:before="118" w:after="240"/>
        <w:ind w:left="709" w:right="237"/>
        <w:rPr>
          <w:i/>
          <w:iCs/>
          <w:sz w:val="20"/>
          <w:szCs w:val="20"/>
        </w:rPr>
      </w:pPr>
      <w:r>
        <w:rPr>
          <w:i/>
          <w:iCs/>
          <w:sz w:val="20"/>
          <w:szCs w:val="20"/>
        </w:rPr>
        <w:t xml:space="preserve">Table 8: </w:t>
      </w:r>
      <w:r w:rsidR="00C64C51">
        <w:rPr>
          <w:i/>
          <w:iCs/>
          <w:sz w:val="20"/>
          <w:szCs w:val="20"/>
        </w:rPr>
        <w:t>UoL Disability Pay Gaps 2024 by Grade Groupings</w:t>
      </w:r>
    </w:p>
    <w:p w14:paraId="4D481692" w14:textId="174E36C2" w:rsidR="00B300E8" w:rsidRDefault="00B300E8" w:rsidP="00B300E8">
      <w:pPr>
        <w:spacing w:before="118" w:after="240"/>
        <w:ind w:right="237"/>
        <w:jc w:val="center"/>
        <w:rPr>
          <w:rFonts w:eastAsia="Times New Roman" w:cs="Arial"/>
          <w:b/>
          <w:bCs/>
          <w:color w:val="000000" w:themeColor="text1"/>
          <w:sz w:val="28"/>
          <w:szCs w:val="28"/>
          <w:lang w:eastAsia="en-GB"/>
        </w:rPr>
      </w:pPr>
      <w:proofErr w:type="spellStart"/>
      <w:r w:rsidRPr="001F5AEA">
        <w:rPr>
          <w:rFonts w:eastAsia="Times New Roman" w:cs="Arial"/>
          <w:b/>
          <w:bCs/>
          <w:color w:val="000000" w:themeColor="text1"/>
          <w:sz w:val="28"/>
          <w:szCs w:val="28"/>
          <w:lang w:eastAsia="en-GB"/>
        </w:rPr>
        <w:t>UoL</w:t>
      </w:r>
      <w:proofErr w:type="spellEnd"/>
      <w:r w:rsidRPr="001F5AEA">
        <w:rPr>
          <w:rFonts w:eastAsia="Times New Roman" w:cs="Arial"/>
          <w:b/>
          <w:bCs/>
          <w:color w:val="000000" w:themeColor="text1"/>
          <w:sz w:val="28"/>
          <w:szCs w:val="28"/>
          <w:lang w:eastAsia="en-GB"/>
        </w:rPr>
        <w:t xml:space="preserve"> Disability Pay Gaps 2024 by Grade</w:t>
      </w:r>
    </w:p>
    <w:p w14:paraId="2E976574" w14:textId="09B0B5F2" w:rsidR="00B300E8" w:rsidRPr="00B300E8" w:rsidRDefault="00B300E8" w:rsidP="00B300E8">
      <w:pPr>
        <w:spacing w:before="118" w:after="240"/>
        <w:ind w:right="237"/>
        <w:rPr>
          <w:sz w:val="24"/>
          <w:szCs w:val="24"/>
        </w:rPr>
      </w:pPr>
      <w:r>
        <w:rPr>
          <w:noProof/>
        </w:rPr>
        <w:drawing>
          <wp:inline distT="0" distB="0" distL="0" distR="0" wp14:anchorId="5B40CCEB" wp14:editId="7427C3B1">
            <wp:extent cx="4943475" cy="1628775"/>
            <wp:effectExtent l="0" t="0" r="9525" b="9525"/>
            <wp:docPr id="7" name="Picture 7" descr="UoL Disability Pay Gaps 2024 by Gra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oL Disability Pay Gaps 2024 by Grade Table"/>
                    <pic:cNvPicPr/>
                  </pic:nvPicPr>
                  <pic:blipFill>
                    <a:blip r:embed="rId16"/>
                    <a:stretch>
                      <a:fillRect/>
                    </a:stretch>
                  </pic:blipFill>
                  <pic:spPr>
                    <a:xfrm>
                      <a:off x="0" y="0"/>
                      <a:ext cx="4943475" cy="1628775"/>
                    </a:xfrm>
                    <a:prstGeom prst="rect">
                      <a:avLst/>
                    </a:prstGeom>
                  </pic:spPr>
                </pic:pic>
              </a:graphicData>
            </a:graphic>
          </wp:inline>
        </w:drawing>
      </w:r>
    </w:p>
    <w:p w14:paraId="1F17BB7F" w14:textId="3E0CDDCA" w:rsidR="00C64C51" w:rsidRPr="00A51C7F" w:rsidRDefault="00C64C51" w:rsidP="001A67A5">
      <w:pPr>
        <w:spacing w:before="118"/>
        <w:ind w:right="237"/>
        <w:rPr>
          <w:sz w:val="24"/>
          <w:szCs w:val="24"/>
        </w:rPr>
      </w:pPr>
      <w:r w:rsidRPr="00A51C7F">
        <w:rPr>
          <w:sz w:val="24"/>
          <w:szCs w:val="24"/>
          <w:u w:val="single"/>
        </w:rPr>
        <w:t>Sexual Orientation Pay Gap</w:t>
      </w:r>
      <w:r w:rsidRPr="00A51C7F">
        <w:rPr>
          <w:sz w:val="24"/>
          <w:szCs w:val="24"/>
        </w:rPr>
        <w:t xml:space="preserve">s: The University’s 2024 mean sexual orientation pay gap is 14.5% (an increase of 2.1 percentage points from 12.4% in 2023), and the median sexual orientation pay gap is 17.1% (an increase of 0.2 percentage point from 16.9% in 2023). </w:t>
      </w:r>
    </w:p>
    <w:p w14:paraId="6C80BC25" w14:textId="77777777" w:rsidR="00C64C51" w:rsidRDefault="00C64C51" w:rsidP="00C64C51">
      <w:pPr>
        <w:spacing w:before="118"/>
        <w:ind w:right="237"/>
        <w:rPr>
          <w:noProof/>
        </w:rPr>
      </w:pPr>
    </w:p>
    <w:p w14:paraId="21BEBC72" w14:textId="77777777" w:rsidR="00C64C51" w:rsidRDefault="00C64C51" w:rsidP="00C64C51">
      <w:pPr>
        <w:spacing w:before="118"/>
        <w:ind w:right="237"/>
        <w:rPr>
          <w:noProof/>
        </w:rPr>
      </w:pPr>
      <w:r>
        <w:rPr>
          <w:noProof/>
        </w:rPr>
        <mc:AlternateContent>
          <mc:Choice Requires="wps">
            <w:drawing>
              <wp:anchor distT="0" distB="0" distL="114300" distR="114300" simplePos="0" relativeHeight="251660288" behindDoc="0" locked="0" layoutInCell="1" allowOverlap="1" wp14:anchorId="04D95808" wp14:editId="2112CEE0">
                <wp:simplePos x="0" y="0"/>
                <wp:positionH relativeFrom="column">
                  <wp:posOffset>3080425</wp:posOffset>
                </wp:positionH>
                <wp:positionV relativeFrom="paragraph">
                  <wp:posOffset>80970</wp:posOffset>
                </wp:positionV>
                <wp:extent cx="2743200" cy="1089498"/>
                <wp:effectExtent l="0" t="0" r="0" b="0"/>
                <wp:wrapNone/>
                <wp:docPr id="1731200667" name="Text Box 17312006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43200" cy="1089498"/>
                        </a:xfrm>
                        <a:prstGeom prst="rect">
                          <a:avLst/>
                        </a:prstGeom>
                        <a:noFill/>
                        <a:ln w="6350">
                          <a:noFill/>
                        </a:ln>
                      </wps:spPr>
                      <wps:txbx>
                        <w:txbxContent>
                          <w:p w14:paraId="3AB9E27C" w14:textId="77777777" w:rsidR="00C64C51" w:rsidRDefault="00C64C51" w:rsidP="00C64C51">
                            <w:pPr>
                              <w:ind w:left="284"/>
                            </w:pPr>
                            <w:r>
                              <w:rPr>
                                <w:noProof/>
                              </w:rPr>
                              <w:drawing>
                                <wp:inline distT="0" distB="0" distL="0" distR="0" wp14:anchorId="14F3E710" wp14:editId="6BF413A5">
                                  <wp:extent cx="2694111" cy="1268083"/>
                                  <wp:effectExtent l="0" t="0" r="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7"/>
                                          <a:stretch>
                                            <a:fillRect/>
                                          </a:stretch>
                                        </pic:blipFill>
                                        <pic:spPr>
                                          <a:xfrm>
                                            <a:off x="0" y="0"/>
                                            <a:ext cx="2823998" cy="13292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95808" id="_x0000_t202" coordsize="21600,21600" o:spt="202" path="m,l,21600r21600,l21600,xe">
                <v:stroke joinstyle="miter"/>
                <v:path gradientshapeok="t" o:connecttype="rect"/>
              </v:shapetype>
              <v:shape id="Text Box 1731200667" o:spid="_x0000_s1026" type="#_x0000_t202" alt="&quot;&quot;" style="position:absolute;margin-left:242.55pt;margin-top:6.4pt;width:3in;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" filled="f" stroked="f" strokeweight=".5pt">
                <v:textbox>
                  <w:txbxContent>
                    <w:p w14:paraId="3AB9E27C" w14:textId="77777777" w:rsidR="00C64C51" w:rsidRDefault="00C64C51" w:rsidP="00C64C51">
                      <w:pPr>
                        <w:ind w:left="284"/>
                      </w:pPr>
                      <w:r>
                        <w:rPr>
                          <w:noProof/>
                        </w:rPr>
                        <w:drawing>
                          <wp:inline distT="0" distB="0" distL="0" distR="0" wp14:anchorId="14F3E710" wp14:editId="6BF413A5">
                            <wp:extent cx="2694111" cy="1268083"/>
                            <wp:effectExtent l="0" t="0" r="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7"/>
                                    <a:stretch>
                                      <a:fillRect/>
                                    </a:stretch>
                                  </pic:blipFill>
                                  <pic:spPr>
                                    <a:xfrm>
                                      <a:off x="0" y="0"/>
                                      <a:ext cx="2823998" cy="132921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97220B" wp14:editId="6601E273">
                <wp:simplePos x="0" y="0"/>
                <wp:positionH relativeFrom="column">
                  <wp:posOffset>142672</wp:posOffset>
                </wp:positionH>
                <wp:positionV relativeFrom="paragraph">
                  <wp:posOffset>150388</wp:posOffset>
                </wp:positionV>
                <wp:extent cx="2743200" cy="1089498"/>
                <wp:effectExtent l="0" t="0" r="0" b="0"/>
                <wp:wrapNone/>
                <wp:docPr id="1731200665" name="Text Box 17312006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43200" cy="1089498"/>
                        </a:xfrm>
                        <a:prstGeom prst="rect">
                          <a:avLst/>
                        </a:prstGeom>
                        <a:noFill/>
                        <a:ln w="6350">
                          <a:noFill/>
                        </a:ln>
                      </wps:spPr>
                      <wps:txbx>
                        <w:txbxContent>
                          <w:p w14:paraId="0DA2A20C" w14:textId="77777777" w:rsidR="00C64C51" w:rsidRDefault="00C64C51" w:rsidP="00C64C51">
                            <w:pPr>
                              <w:ind w:left="284"/>
                            </w:pPr>
                            <w:r>
                              <w:rPr>
                                <w:noProof/>
                              </w:rPr>
                              <w:drawing>
                                <wp:inline distT="0" distB="0" distL="0" distR="0" wp14:anchorId="3A683A7C" wp14:editId="4B9875A5">
                                  <wp:extent cx="2216989" cy="74835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8"/>
                                          <a:stretch>
                                            <a:fillRect/>
                                          </a:stretch>
                                        </pic:blipFill>
                                        <pic:spPr>
                                          <a:xfrm>
                                            <a:off x="0" y="0"/>
                                            <a:ext cx="2245616" cy="7580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7220B" id="Text Box 1731200665" o:spid="_x0000_s1027" type="#_x0000_t202" alt="&quot;&quot;" style="position:absolute;margin-left:11.25pt;margin-top:11.85pt;width:3in;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" filled="f" stroked="f" strokeweight=".5pt">
                <v:textbox>
                  <w:txbxContent>
                    <w:p w14:paraId="0DA2A20C" w14:textId="77777777" w:rsidR="00C64C51" w:rsidRDefault="00C64C51" w:rsidP="00C64C51">
                      <w:pPr>
                        <w:ind w:left="284"/>
                      </w:pPr>
                      <w:r>
                        <w:rPr>
                          <w:noProof/>
                        </w:rPr>
                        <w:drawing>
                          <wp:inline distT="0" distB="0" distL="0" distR="0" wp14:anchorId="3A683A7C" wp14:editId="4B9875A5">
                            <wp:extent cx="2216989" cy="74835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8"/>
                                    <a:stretch>
                                      <a:fillRect/>
                                    </a:stretch>
                                  </pic:blipFill>
                                  <pic:spPr>
                                    <a:xfrm>
                                      <a:off x="0" y="0"/>
                                      <a:ext cx="2245616" cy="758018"/>
                                    </a:xfrm>
                                    <a:prstGeom prst="rect">
                                      <a:avLst/>
                                    </a:prstGeom>
                                  </pic:spPr>
                                </pic:pic>
                              </a:graphicData>
                            </a:graphic>
                          </wp:inline>
                        </w:drawing>
                      </w:r>
                    </w:p>
                  </w:txbxContent>
                </v:textbox>
              </v:shape>
            </w:pict>
          </mc:Fallback>
        </mc:AlternateContent>
      </w:r>
    </w:p>
    <w:p w14:paraId="2D50358F" w14:textId="77777777" w:rsidR="00C64C51" w:rsidRDefault="00C64C51" w:rsidP="00C64C51">
      <w:pPr>
        <w:spacing w:before="118"/>
        <w:ind w:right="237"/>
        <w:rPr>
          <w:noProof/>
        </w:rPr>
      </w:pPr>
    </w:p>
    <w:p w14:paraId="7923881C" w14:textId="77777777" w:rsidR="00C64C51" w:rsidRDefault="00C64C51" w:rsidP="00C64C51">
      <w:pPr>
        <w:spacing w:before="118"/>
        <w:ind w:right="237"/>
        <w:rPr>
          <w:noProof/>
        </w:rPr>
      </w:pPr>
    </w:p>
    <w:p w14:paraId="6329A037" w14:textId="77777777" w:rsidR="00C64C51" w:rsidRDefault="00C64C51" w:rsidP="00C64C51">
      <w:pPr>
        <w:spacing w:before="118"/>
        <w:ind w:right="237"/>
        <w:rPr>
          <w:noProof/>
        </w:rPr>
      </w:pPr>
    </w:p>
    <w:p w14:paraId="4EF45C89" w14:textId="77777777" w:rsidR="00C64C51" w:rsidRDefault="00C64C51" w:rsidP="00C64C51">
      <w:pPr>
        <w:spacing w:before="118"/>
        <w:ind w:right="237"/>
        <w:rPr>
          <w:noProof/>
        </w:rPr>
      </w:pPr>
    </w:p>
    <w:p w14:paraId="0F8EC598" w14:textId="20F1D0DF" w:rsidR="00C64C51" w:rsidRPr="00A51C7F" w:rsidRDefault="00C64C51" w:rsidP="001A67A5">
      <w:pPr>
        <w:spacing w:before="118"/>
        <w:ind w:right="237"/>
        <w:rPr>
          <w:noProof/>
          <w:sz w:val="24"/>
          <w:szCs w:val="24"/>
        </w:rPr>
      </w:pPr>
      <w:r w:rsidRPr="00A51C7F">
        <w:rPr>
          <w:noProof/>
          <w:sz w:val="24"/>
          <w:szCs w:val="24"/>
        </w:rPr>
        <w:t xml:space="preserve">The mean sexual orientation pay gap is slightly lower for lesbian, gay and bisexualt (LGB+) professional services staff (13.1%) than for LGB+ academic staff (14.2%) and the median sexual orientation pay gap is slightly lower for LGB+ academic staff (10.7%) than for LGB+ professional services staff (11.0%) (Table </w:t>
      </w:r>
      <w:r w:rsidR="00061C3D" w:rsidRPr="00A51C7F">
        <w:rPr>
          <w:noProof/>
          <w:sz w:val="24"/>
          <w:szCs w:val="24"/>
        </w:rPr>
        <w:t>9</w:t>
      </w:r>
      <w:r w:rsidRPr="00A51C7F">
        <w:rPr>
          <w:noProof/>
          <w:sz w:val="24"/>
          <w:szCs w:val="24"/>
        </w:rPr>
        <w:t>).</w:t>
      </w:r>
    </w:p>
    <w:p w14:paraId="2CA4750A" w14:textId="77777777" w:rsidR="00B300E8" w:rsidRDefault="00B300E8" w:rsidP="00C64C51">
      <w:pPr>
        <w:spacing w:before="118" w:after="240"/>
        <w:ind w:left="709" w:right="237"/>
        <w:rPr>
          <w:i/>
          <w:iCs/>
          <w:sz w:val="20"/>
          <w:szCs w:val="20"/>
        </w:rPr>
      </w:pPr>
    </w:p>
    <w:p w14:paraId="4F0FB38A" w14:textId="77777777" w:rsidR="00B300E8" w:rsidRDefault="00B300E8" w:rsidP="00C64C51">
      <w:pPr>
        <w:spacing w:before="118" w:after="240"/>
        <w:ind w:left="709" w:right="237"/>
        <w:rPr>
          <w:i/>
          <w:iCs/>
          <w:sz w:val="20"/>
          <w:szCs w:val="20"/>
        </w:rPr>
      </w:pPr>
    </w:p>
    <w:p w14:paraId="733F192E" w14:textId="3C2ABFDF" w:rsidR="00C64C51" w:rsidRDefault="00C64C51" w:rsidP="00C64C51">
      <w:pPr>
        <w:spacing w:before="118" w:after="240"/>
        <w:ind w:left="709" w:right="237"/>
        <w:rPr>
          <w:i/>
          <w:iCs/>
          <w:sz w:val="20"/>
          <w:szCs w:val="20"/>
        </w:rPr>
      </w:pPr>
      <w:r w:rsidRPr="008E3BDF">
        <w:rPr>
          <w:i/>
          <w:iCs/>
          <w:sz w:val="20"/>
          <w:szCs w:val="20"/>
        </w:rPr>
        <w:lastRenderedPageBreak/>
        <w:t xml:space="preserve">Table </w:t>
      </w:r>
      <w:r w:rsidR="00061C3D">
        <w:rPr>
          <w:i/>
          <w:iCs/>
          <w:sz w:val="20"/>
          <w:szCs w:val="20"/>
        </w:rPr>
        <w:t>9</w:t>
      </w:r>
      <w:r w:rsidRPr="008E3BDF">
        <w:rPr>
          <w:i/>
          <w:iCs/>
          <w:sz w:val="20"/>
          <w:szCs w:val="20"/>
        </w:rPr>
        <w:t>:</w:t>
      </w:r>
      <w:r>
        <w:rPr>
          <w:i/>
          <w:iCs/>
          <w:sz w:val="20"/>
          <w:szCs w:val="20"/>
        </w:rPr>
        <w:t xml:space="preserve"> </w:t>
      </w:r>
      <w:proofErr w:type="spellStart"/>
      <w:r>
        <w:rPr>
          <w:i/>
          <w:iCs/>
          <w:sz w:val="20"/>
          <w:szCs w:val="20"/>
        </w:rPr>
        <w:t>UoL</w:t>
      </w:r>
      <w:proofErr w:type="spellEnd"/>
      <w:r>
        <w:rPr>
          <w:i/>
          <w:iCs/>
          <w:sz w:val="20"/>
          <w:szCs w:val="20"/>
        </w:rPr>
        <w:t xml:space="preserve"> Sexual Orientation Pay Gaps 2024 by Function</w:t>
      </w:r>
    </w:p>
    <w:p w14:paraId="5EC8EF7A" w14:textId="2FCCB27E" w:rsidR="00B300E8" w:rsidRDefault="00B300E8" w:rsidP="00B300E8">
      <w:pPr>
        <w:spacing w:before="118" w:after="240"/>
        <w:ind w:left="709" w:right="237"/>
        <w:jc w:val="center"/>
        <w:rPr>
          <w:rFonts w:eastAsia="Times New Roman" w:cs="Arial"/>
          <w:b/>
          <w:bCs/>
          <w:color w:val="000000" w:themeColor="text1"/>
          <w:sz w:val="28"/>
          <w:szCs w:val="28"/>
          <w:lang w:eastAsia="en-GB"/>
        </w:rPr>
      </w:pPr>
      <w:proofErr w:type="spellStart"/>
      <w:r w:rsidRPr="001F5AEA">
        <w:rPr>
          <w:rFonts w:eastAsia="Times New Roman" w:cs="Arial"/>
          <w:b/>
          <w:bCs/>
          <w:color w:val="000000" w:themeColor="text1"/>
          <w:sz w:val="28"/>
          <w:szCs w:val="28"/>
          <w:lang w:eastAsia="en-GB"/>
        </w:rPr>
        <w:t>UoL</w:t>
      </w:r>
      <w:proofErr w:type="spellEnd"/>
      <w:r w:rsidRPr="001F5AEA">
        <w:rPr>
          <w:rFonts w:eastAsia="Times New Roman" w:cs="Arial"/>
          <w:b/>
          <w:bCs/>
          <w:color w:val="000000" w:themeColor="text1"/>
          <w:sz w:val="28"/>
          <w:szCs w:val="28"/>
          <w:lang w:eastAsia="en-GB"/>
        </w:rPr>
        <w:t xml:space="preserve"> Sexual Orientation Pay Gaps 2024 by Function</w:t>
      </w:r>
    </w:p>
    <w:p w14:paraId="5AE84B3D" w14:textId="6354FF1B" w:rsidR="00B300E8" w:rsidRDefault="00B300E8" w:rsidP="00B300E8">
      <w:pPr>
        <w:spacing w:before="118" w:after="240"/>
        <w:ind w:left="709" w:right="237"/>
        <w:rPr>
          <w:noProof/>
        </w:rPr>
      </w:pPr>
      <w:r>
        <w:rPr>
          <w:noProof/>
        </w:rPr>
        <w:drawing>
          <wp:inline distT="0" distB="0" distL="0" distR="0" wp14:anchorId="4ECBA365" wp14:editId="1D3C1672">
            <wp:extent cx="4953000" cy="1152525"/>
            <wp:effectExtent l="0" t="0" r="0" b="9525"/>
            <wp:docPr id="8" name="Picture 8" descr="UoL Sexual Orientation Pay Gaps 2024 by Fun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oL Sexual Orientation Pay Gaps 2024 by Function Table"/>
                    <pic:cNvPicPr/>
                  </pic:nvPicPr>
                  <pic:blipFill>
                    <a:blip r:embed="rId19"/>
                    <a:stretch>
                      <a:fillRect/>
                    </a:stretch>
                  </pic:blipFill>
                  <pic:spPr>
                    <a:xfrm>
                      <a:off x="0" y="0"/>
                      <a:ext cx="4953000" cy="1152525"/>
                    </a:xfrm>
                    <a:prstGeom prst="rect">
                      <a:avLst/>
                    </a:prstGeom>
                  </pic:spPr>
                </pic:pic>
              </a:graphicData>
            </a:graphic>
          </wp:inline>
        </w:drawing>
      </w:r>
    </w:p>
    <w:p w14:paraId="293967D7" w14:textId="44C6C078" w:rsidR="00C64C51" w:rsidRPr="00A51C7F" w:rsidRDefault="00C64C51" w:rsidP="001A67A5">
      <w:pPr>
        <w:spacing w:before="118"/>
        <w:ind w:right="237"/>
        <w:rPr>
          <w:sz w:val="24"/>
          <w:szCs w:val="24"/>
        </w:rPr>
      </w:pPr>
      <w:r w:rsidRPr="00A51C7F">
        <w:rPr>
          <w:rFonts w:asciiTheme="minorHAnsi" w:eastAsia="Times New Roman" w:hAnsiTheme="minorHAnsi" w:cs="Arial"/>
          <w:color w:val="000000" w:themeColor="text1"/>
          <w:sz w:val="24"/>
          <w:szCs w:val="24"/>
          <w:lang w:eastAsia="en-GB"/>
        </w:rPr>
        <w:t xml:space="preserve">When </w:t>
      </w:r>
      <w:proofErr w:type="spellStart"/>
      <w:r w:rsidRPr="00A51C7F">
        <w:rPr>
          <w:rFonts w:asciiTheme="minorHAnsi" w:eastAsia="Times New Roman" w:hAnsiTheme="minorHAnsi" w:cs="Arial"/>
          <w:color w:val="000000" w:themeColor="text1"/>
          <w:sz w:val="24"/>
          <w:szCs w:val="24"/>
          <w:lang w:eastAsia="en-GB"/>
        </w:rPr>
        <w:t>analysing</w:t>
      </w:r>
      <w:proofErr w:type="spellEnd"/>
      <w:r w:rsidRPr="00A51C7F">
        <w:rPr>
          <w:rFonts w:asciiTheme="minorHAnsi" w:eastAsia="Times New Roman" w:hAnsiTheme="minorHAnsi" w:cs="Arial"/>
          <w:color w:val="000000" w:themeColor="text1"/>
          <w:sz w:val="24"/>
          <w:szCs w:val="24"/>
          <w:lang w:eastAsia="en-GB"/>
        </w:rPr>
        <w:t xml:space="preserve"> by staff grade groupings, </w:t>
      </w:r>
      <w:r w:rsidRPr="00A51C7F">
        <w:rPr>
          <w:sz w:val="24"/>
          <w:szCs w:val="24"/>
        </w:rPr>
        <w:t xml:space="preserve">Grades 1-5 has the lowest mean and median sexual orientation pay gaps (2.8% mean and 3.4% median) and the Clinical Grade has the highest (18.3% mean and 36.3% median) but the very small number of LGB+ (#3) is noted in the Clinical Grade grouping (Table </w:t>
      </w:r>
      <w:r w:rsidR="00061C3D" w:rsidRPr="00A51C7F">
        <w:rPr>
          <w:sz w:val="24"/>
          <w:szCs w:val="24"/>
        </w:rPr>
        <w:t>10</w:t>
      </w:r>
      <w:r w:rsidRPr="00A51C7F">
        <w:rPr>
          <w:sz w:val="24"/>
          <w:szCs w:val="24"/>
        </w:rPr>
        <w:t>).</w:t>
      </w:r>
    </w:p>
    <w:p w14:paraId="1A515EE7" w14:textId="77777777" w:rsidR="00C64C51" w:rsidRDefault="00C64C51" w:rsidP="00C64C51">
      <w:pPr>
        <w:spacing w:before="118"/>
        <w:ind w:right="237"/>
        <w:rPr>
          <w:noProof/>
        </w:rPr>
      </w:pPr>
    </w:p>
    <w:p w14:paraId="3EB27572" w14:textId="2535D2BB" w:rsidR="00C64C51" w:rsidRDefault="00C64C51" w:rsidP="00C64C51">
      <w:pPr>
        <w:spacing w:before="118" w:after="240"/>
        <w:ind w:left="709" w:right="237"/>
        <w:rPr>
          <w:i/>
          <w:iCs/>
          <w:sz w:val="20"/>
          <w:szCs w:val="20"/>
        </w:rPr>
      </w:pPr>
      <w:r w:rsidRPr="008E3BDF">
        <w:rPr>
          <w:i/>
          <w:iCs/>
          <w:sz w:val="20"/>
          <w:szCs w:val="20"/>
        </w:rPr>
        <w:t xml:space="preserve">Table </w:t>
      </w:r>
      <w:r w:rsidR="00061C3D">
        <w:rPr>
          <w:i/>
          <w:iCs/>
          <w:sz w:val="20"/>
          <w:szCs w:val="20"/>
        </w:rPr>
        <w:t>1</w:t>
      </w:r>
      <w:r>
        <w:rPr>
          <w:i/>
          <w:iCs/>
          <w:sz w:val="20"/>
          <w:szCs w:val="20"/>
        </w:rPr>
        <w:t>0</w:t>
      </w:r>
      <w:r w:rsidRPr="008E3BDF">
        <w:rPr>
          <w:i/>
          <w:iCs/>
          <w:sz w:val="20"/>
          <w:szCs w:val="20"/>
        </w:rPr>
        <w:t>:</w:t>
      </w:r>
      <w:r>
        <w:rPr>
          <w:i/>
          <w:iCs/>
          <w:sz w:val="20"/>
          <w:szCs w:val="20"/>
        </w:rPr>
        <w:t xml:space="preserve"> UoL Sexual Orientation Pay Gaps by Grade Groupings</w:t>
      </w:r>
    </w:p>
    <w:p w14:paraId="1CE21612" w14:textId="2A1A373C" w:rsidR="00B300E8" w:rsidRDefault="00B300E8" w:rsidP="00B300E8">
      <w:pPr>
        <w:spacing w:before="118" w:after="240"/>
        <w:ind w:right="237"/>
        <w:jc w:val="center"/>
        <w:rPr>
          <w:rFonts w:eastAsia="Times New Roman" w:cs="Arial"/>
          <w:b/>
          <w:bCs/>
          <w:color w:val="000000" w:themeColor="text1"/>
          <w:sz w:val="28"/>
          <w:szCs w:val="28"/>
          <w:lang w:eastAsia="en-GB"/>
        </w:rPr>
      </w:pPr>
      <w:proofErr w:type="spellStart"/>
      <w:r w:rsidRPr="001F5AEA">
        <w:rPr>
          <w:rFonts w:eastAsia="Times New Roman" w:cs="Arial"/>
          <w:b/>
          <w:bCs/>
          <w:color w:val="000000" w:themeColor="text1"/>
          <w:sz w:val="28"/>
          <w:szCs w:val="28"/>
          <w:lang w:eastAsia="en-GB"/>
        </w:rPr>
        <w:t>UoL</w:t>
      </w:r>
      <w:proofErr w:type="spellEnd"/>
      <w:r w:rsidRPr="001F5AEA">
        <w:rPr>
          <w:rFonts w:eastAsia="Times New Roman" w:cs="Arial"/>
          <w:b/>
          <w:bCs/>
          <w:color w:val="000000" w:themeColor="text1"/>
          <w:sz w:val="28"/>
          <w:szCs w:val="28"/>
          <w:lang w:eastAsia="en-GB"/>
        </w:rPr>
        <w:t xml:space="preserve"> Sexual Orientation Pay Gaps 2024 by Grade</w:t>
      </w:r>
    </w:p>
    <w:p w14:paraId="4AC5B27E" w14:textId="2B65F9C4" w:rsidR="00B300E8" w:rsidRPr="00B300E8" w:rsidRDefault="00B300E8" w:rsidP="00B300E8">
      <w:pPr>
        <w:spacing w:before="118" w:after="240"/>
        <w:ind w:left="567" w:right="237"/>
        <w:rPr>
          <w:noProof/>
          <w:sz w:val="24"/>
          <w:szCs w:val="24"/>
        </w:rPr>
      </w:pPr>
      <w:r>
        <w:rPr>
          <w:noProof/>
        </w:rPr>
        <w:drawing>
          <wp:inline distT="0" distB="0" distL="0" distR="0" wp14:anchorId="022BADAC" wp14:editId="16A61916">
            <wp:extent cx="4962525" cy="1466850"/>
            <wp:effectExtent l="0" t="0" r="9525" b="0"/>
            <wp:docPr id="9" name="Picture 9" descr="UoL Sexual Orientation Pay Gaps 2024 by Gra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oL Sexual Orientation Pay Gaps 2024 by Grade Table"/>
                    <pic:cNvPicPr/>
                  </pic:nvPicPr>
                  <pic:blipFill>
                    <a:blip r:embed="rId20"/>
                    <a:stretch>
                      <a:fillRect/>
                    </a:stretch>
                  </pic:blipFill>
                  <pic:spPr>
                    <a:xfrm>
                      <a:off x="0" y="0"/>
                      <a:ext cx="4962525" cy="1466850"/>
                    </a:xfrm>
                    <a:prstGeom prst="rect">
                      <a:avLst/>
                    </a:prstGeom>
                  </pic:spPr>
                </pic:pic>
              </a:graphicData>
            </a:graphic>
          </wp:inline>
        </w:drawing>
      </w:r>
    </w:p>
    <w:p w14:paraId="53046631" w14:textId="17D28C4B" w:rsidR="00C64C51" w:rsidRPr="00A51C7F" w:rsidRDefault="00C64C51" w:rsidP="001A67A5">
      <w:pPr>
        <w:spacing w:before="118"/>
        <w:ind w:right="237"/>
        <w:rPr>
          <w:noProof/>
          <w:sz w:val="24"/>
          <w:szCs w:val="24"/>
        </w:rPr>
      </w:pPr>
      <w:r w:rsidRPr="00A51C7F">
        <w:rPr>
          <w:b/>
          <w:bCs/>
          <w:noProof/>
          <w:sz w:val="24"/>
          <w:szCs w:val="24"/>
          <w:u w:val="single"/>
        </w:rPr>
        <w:t>Intersectional Pay Gaps</w:t>
      </w:r>
      <w:r w:rsidRPr="00A51C7F">
        <w:rPr>
          <w:b/>
          <w:bCs/>
          <w:noProof/>
          <w:sz w:val="24"/>
          <w:szCs w:val="24"/>
        </w:rPr>
        <w:t>:</w:t>
      </w:r>
      <w:r w:rsidRPr="00A51C7F">
        <w:rPr>
          <w:noProof/>
          <w:sz w:val="24"/>
          <w:szCs w:val="24"/>
        </w:rPr>
        <w:t xml:space="preserve"> The University’s intersectional pay gaps are the gender pay gaps disaggregated by broad ethnic groupings (minority ethnic and white) and illustrate the separate and combined impact of gender and ethnicity based disadvantage. </w:t>
      </w:r>
    </w:p>
    <w:p w14:paraId="6AD14C27" w14:textId="77777777" w:rsidR="00C64C51" w:rsidRPr="00A51C7F" w:rsidRDefault="00C64C51" w:rsidP="001A67A5">
      <w:pPr>
        <w:spacing w:before="118"/>
        <w:ind w:right="237"/>
        <w:rPr>
          <w:b/>
          <w:bCs/>
          <w:sz w:val="24"/>
          <w:szCs w:val="24"/>
        </w:rPr>
      </w:pPr>
      <w:r w:rsidRPr="00A51C7F">
        <w:rPr>
          <w:sz w:val="24"/>
          <w:szCs w:val="24"/>
        </w:rPr>
        <w:t>The University’s 2024 mean minority ethnic gender pay gap (the mean gender pay gap for minority ethnic women compared to minority ethnic men) is 24.8% and the median minority ethnic gender pay gap is 19.9%. The mean white gender pay gap (the mean gender pay gap for white women compared to white men) is 16.4% and the median white gender pay gap is 13.7%.</w:t>
      </w:r>
      <w:r w:rsidRPr="00A51C7F">
        <w:rPr>
          <w:b/>
          <w:bCs/>
          <w:sz w:val="24"/>
          <w:szCs w:val="24"/>
        </w:rPr>
        <w:t xml:space="preserve"> </w:t>
      </w:r>
    </w:p>
    <w:p w14:paraId="7A6352A6" w14:textId="77777777" w:rsidR="00C64C51" w:rsidRPr="00FF5879" w:rsidRDefault="00C64C51" w:rsidP="00C64C51">
      <w:pPr>
        <w:spacing w:before="118"/>
        <w:ind w:right="237"/>
        <w:rPr>
          <w:rFonts w:asciiTheme="minorHAnsi" w:hAnsiTheme="minorHAnsi" w:cstheme="minorHAnsi"/>
          <w:noProof/>
          <w:color w:val="404040" w:themeColor="text1" w:themeTint="BF"/>
        </w:rPr>
      </w:pPr>
    </w:p>
    <w:p w14:paraId="4F66AC74" w14:textId="77777777" w:rsidR="00C64C51" w:rsidRPr="000A1AD1" w:rsidRDefault="00C64C51" w:rsidP="00C64C51">
      <w:pPr>
        <w:spacing w:before="118"/>
        <w:ind w:right="237"/>
        <w:rPr>
          <w:rFonts w:ascii="Arial" w:hAnsi="Arial" w:cs="Arial"/>
          <w:b/>
          <w:bCs/>
          <w:noProof/>
          <w:color w:val="404040" w:themeColor="text1" w:themeTint="BF"/>
          <w:sz w:val="28"/>
          <w:szCs w:val="28"/>
        </w:rPr>
      </w:pPr>
      <w:r w:rsidRPr="000A1AD1">
        <w:rPr>
          <w:rFonts w:ascii="Arial" w:hAnsi="Arial" w:cs="Arial"/>
          <w:b/>
          <w:bCs/>
          <w:noProof/>
          <w:color w:val="404040" w:themeColor="text1" w:themeTint="BF"/>
          <w:sz w:val="28"/>
          <w:szCs w:val="28"/>
        </w:rPr>
        <w:t>MEAN MINORITY ETHNIC</w:t>
      </w:r>
      <w:r>
        <w:rPr>
          <w:rFonts w:ascii="Arial" w:hAnsi="Arial" w:cs="Arial"/>
          <w:b/>
          <w:bCs/>
          <w:noProof/>
          <w:color w:val="404040" w:themeColor="text1" w:themeTint="BF"/>
          <w:sz w:val="28"/>
          <w:szCs w:val="28"/>
        </w:rPr>
        <w:tab/>
      </w:r>
      <w:r>
        <w:rPr>
          <w:rFonts w:ascii="Arial" w:hAnsi="Arial" w:cs="Arial"/>
          <w:b/>
          <w:bCs/>
          <w:noProof/>
          <w:color w:val="404040" w:themeColor="text1" w:themeTint="BF"/>
          <w:sz w:val="28"/>
          <w:szCs w:val="28"/>
        </w:rPr>
        <w:tab/>
      </w:r>
      <w:r>
        <w:rPr>
          <w:rFonts w:ascii="Arial" w:hAnsi="Arial" w:cs="Arial"/>
          <w:b/>
          <w:bCs/>
          <w:noProof/>
          <w:color w:val="404040" w:themeColor="text1" w:themeTint="BF"/>
          <w:sz w:val="28"/>
          <w:szCs w:val="28"/>
        </w:rPr>
        <w:tab/>
        <w:t xml:space="preserve">MEDIAN </w:t>
      </w:r>
      <w:r w:rsidRPr="000A1AD1">
        <w:rPr>
          <w:rFonts w:ascii="Arial" w:hAnsi="Arial" w:cs="Arial"/>
          <w:b/>
          <w:bCs/>
          <w:noProof/>
          <w:color w:val="404040" w:themeColor="text1" w:themeTint="BF"/>
          <w:sz w:val="28"/>
          <w:szCs w:val="28"/>
        </w:rPr>
        <w:t>MINORITY ETHNIC</w:t>
      </w:r>
    </w:p>
    <w:p w14:paraId="30F2CB9D" w14:textId="77777777" w:rsidR="00C64C51" w:rsidRPr="000A1AD1" w:rsidRDefault="00C64C51" w:rsidP="00C64C51">
      <w:pPr>
        <w:spacing w:before="118"/>
        <w:ind w:right="237"/>
        <w:rPr>
          <w:rFonts w:ascii="Arial" w:hAnsi="Arial" w:cs="Arial"/>
          <w:b/>
          <w:bCs/>
          <w:noProof/>
          <w:color w:val="404040" w:themeColor="text1" w:themeTint="BF"/>
          <w:sz w:val="28"/>
          <w:szCs w:val="28"/>
        </w:rPr>
      </w:pPr>
      <w:r w:rsidRPr="000A1AD1">
        <w:rPr>
          <w:rFonts w:ascii="Arial" w:hAnsi="Arial" w:cs="Arial"/>
          <w:b/>
          <w:bCs/>
          <w:noProof/>
          <w:color w:val="404040" w:themeColor="text1" w:themeTint="BF"/>
          <w:sz w:val="28"/>
          <w:szCs w:val="28"/>
        </w:rPr>
        <w:t xml:space="preserve">     </w:t>
      </w:r>
      <w:r>
        <w:rPr>
          <w:rFonts w:ascii="Arial" w:hAnsi="Arial" w:cs="Arial"/>
          <w:b/>
          <w:bCs/>
          <w:noProof/>
          <w:color w:val="404040" w:themeColor="text1" w:themeTint="BF"/>
          <w:sz w:val="28"/>
          <w:szCs w:val="28"/>
        </w:rPr>
        <w:t xml:space="preserve">GENDER </w:t>
      </w:r>
      <w:r w:rsidRPr="000A1AD1">
        <w:rPr>
          <w:rFonts w:ascii="Arial" w:hAnsi="Arial" w:cs="Arial"/>
          <w:b/>
          <w:bCs/>
          <w:noProof/>
          <w:color w:val="404040" w:themeColor="text1" w:themeTint="BF"/>
          <w:sz w:val="28"/>
          <w:szCs w:val="28"/>
        </w:rPr>
        <w:t>PAY GAP</w:t>
      </w:r>
      <w:r>
        <w:rPr>
          <w:rFonts w:ascii="Arial" w:hAnsi="Arial" w:cs="Arial"/>
          <w:b/>
          <w:bCs/>
          <w:noProof/>
          <w:color w:val="404040" w:themeColor="text1" w:themeTint="BF"/>
          <w:sz w:val="28"/>
          <w:szCs w:val="28"/>
        </w:rPr>
        <w:t xml:space="preserve">                                  GENDER </w:t>
      </w:r>
      <w:r w:rsidRPr="000A1AD1">
        <w:rPr>
          <w:rFonts w:ascii="Arial" w:hAnsi="Arial" w:cs="Arial"/>
          <w:b/>
          <w:bCs/>
          <w:noProof/>
          <w:color w:val="404040" w:themeColor="text1" w:themeTint="BF"/>
          <w:sz w:val="28"/>
          <w:szCs w:val="28"/>
        </w:rPr>
        <w:t>PAY GAP</w:t>
      </w:r>
    </w:p>
    <w:p w14:paraId="6D7A07F8" w14:textId="77777777" w:rsidR="00C64C51" w:rsidRDefault="00C64C51" w:rsidP="00C64C51">
      <w:pPr>
        <w:spacing w:before="118"/>
        <w:ind w:right="237"/>
        <w:rPr>
          <w:rFonts w:ascii="Arial" w:hAnsi="Arial" w:cs="Arial"/>
          <w:b/>
          <w:bCs/>
          <w:noProof/>
          <w:color w:val="C45911" w:themeColor="accent2" w:themeShade="BF"/>
          <w:sz w:val="44"/>
          <w:szCs w:val="44"/>
        </w:rPr>
      </w:pPr>
      <w:r w:rsidRPr="000A1AD1">
        <w:rPr>
          <w:rFonts w:ascii="Arial" w:hAnsi="Arial" w:cs="Arial"/>
          <w:noProof/>
          <w:color w:val="F4B083" w:themeColor="accent2" w:themeTint="99"/>
          <w:sz w:val="40"/>
          <w:szCs w:val="40"/>
        </w:rPr>
        <w:t xml:space="preserve">       </w:t>
      </w:r>
      <w:r w:rsidRPr="000A1AD1">
        <w:rPr>
          <w:rFonts w:ascii="Arial" w:hAnsi="Arial" w:cs="Arial"/>
          <w:b/>
          <w:bCs/>
          <w:noProof/>
          <w:color w:val="C45911" w:themeColor="accent2" w:themeShade="BF"/>
          <w:sz w:val="44"/>
          <w:szCs w:val="44"/>
        </w:rPr>
        <w:t>24.8%</w:t>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t>19.9%</w:t>
      </w:r>
    </w:p>
    <w:p w14:paraId="7D90AF4C" w14:textId="77777777" w:rsidR="00C64C51" w:rsidRPr="00B83E31" w:rsidRDefault="00C64C51" w:rsidP="00C64C51">
      <w:pPr>
        <w:spacing w:before="118"/>
        <w:ind w:right="237"/>
        <w:rPr>
          <w:rFonts w:ascii="Arial" w:hAnsi="Arial" w:cs="Arial"/>
          <w:b/>
          <w:bCs/>
          <w:noProof/>
          <w:color w:val="C45911" w:themeColor="accent2" w:themeShade="BF"/>
          <w:sz w:val="36"/>
          <w:szCs w:val="36"/>
        </w:rPr>
      </w:pPr>
    </w:p>
    <w:p w14:paraId="32A200B4" w14:textId="77777777" w:rsidR="00C64C51" w:rsidRPr="000A1AD1" w:rsidRDefault="00C64C51" w:rsidP="00C64C51">
      <w:pPr>
        <w:spacing w:before="118"/>
        <w:ind w:right="237"/>
        <w:rPr>
          <w:rFonts w:ascii="Arial" w:hAnsi="Arial" w:cs="Arial"/>
          <w:b/>
          <w:bCs/>
          <w:noProof/>
          <w:color w:val="404040" w:themeColor="text1" w:themeTint="BF"/>
          <w:sz w:val="28"/>
          <w:szCs w:val="28"/>
        </w:rPr>
      </w:pPr>
      <w:r>
        <w:rPr>
          <w:rFonts w:ascii="Arial" w:hAnsi="Arial" w:cs="Arial"/>
          <w:b/>
          <w:bCs/>
          <w:noProof/>
          <w:color w:val="404040" w:themeColor="text1" w:themeTint="BF"/>
          <w:sz w:val="28"/>
          <w:szCs w:val="28"/>
        </w:rPr>
        <w:t xml:space="preserve">       </w:t>
      </w:r>
      <w:r w:rsidRPr="000A1AD1">
        <w:rPr>
          <w:rFonts w:ascii="Arial" w:hAnsi="Arial" w:cs="Arial"/>
          <w:b/>
          <w:bCs/>
          <w:noProof/>
          <w:color w:val="404040" w:themeColor="text1" w:themeTint="BF"/>
          <w:sz w:val="28"/>
          <w:szCs w:val="28"/>
        </w:rPr>
        <w:t xml:space="preserve">MEAN </w:t>
      </w:r>
      <w:r>
        <w:rPr>
          <w:rFonts w:ascii="Arial" w:hAnsi="Arial" w:cs="Arial"/>
          <w:b/>
          <w:bCs/>
          <w:noProof/>
          <w:color w:val="404040" w:themeColor="text1" w:themeTint="BF"/>
          <w:sz w:val="28"/>
          <w:szCs w:val="28"/>
        </w:rPr>
        <w:t>WHITE</w:t>
      </w:r>
      <w:r>
        <w:rPr>
          <w:rFonts w:ascii="Arial" w:hAnsi="Arial" w:cs="Arial"/>
          <w:b/>
          <w:bCs/>
          <w:noProof/>
          <w:color w:val="404040" w:themeColor="text1" w:themeTint="BF"/>
          <w:sz w:val="28"/>
          <w:szCs w:val="28"/>
        </w:rPr>
        <w:tab/>
      </w:r>
      <w:r>
        <w:rPr>
          <w:rFonts w:ascii="Arial" w:hAnsi="Arial" w:cs="Arial"/>
          <w:b/>
          <w:bCs/>
          <w:noProof/>
          <w:color w:val="404040" w:themeColor="text1" w:themeTint="BF"/>
          <w:sz w:val="28"/>
          <w:szCs w:val="28"/>
        </w:rPr>
        <w:tab/>
      </w:r>
      <w:r>
        <w:rPr>
          <w:rFonts w:ascii="Arial" w:hAnsi="Arial" w:cs="Arial"/>
          <w:b/>
          <w:bCs/>
          <w:noProof/>
          <w:color w:val="404040" w:themeColor="text1" w:themeTint="BF"/>
          <w:sz w:val="28"/>
          <w:szCs w:val="28"/>
        </w:rPr>
        <w:tab/>
        <w:t xml:space="preserve">                    MEDIAN WHITE</w:t>
      </w:r>
    </w:p>
    <w:p w14:paraId="0C01CA3E" w14:textId="77777777" w:rsidR="00C64C51" w:rsidRPr="000A1AD1" w:rsidRDefault="00C64C51" w:rsidP="00C64C51">
      <w:pPr>
        <w:spacing w:before="118"/>
        <w:ind w:right="237"/>
        <w:rPr>
          <w:rFonts w:ascii="Arial" w:hAnsi="Arial" w:cs="Arial"/>
          <w:b/>
          <w:bCs/>
          <w:noProof/>
          <w:color w:val="404040" w:themeColor="text1" w:themeTint="BF"/>
          <w:sz w:val="28"/>
          <w:szCs w:val="28"/>
        </w:rPr>
      </w:pPr>
      <w:r w:rsidRPr="000A1AD1">
        <w:rPr>
          <w:rFonts w:ascii="Arial" w:hAnsi="Arial" w:cs="Arial"/>
          <w:b/>
          <w:bCs/>
          <w:noProof/>
          <w:color w:val="404040" w:themeColor="text1" w:themeTint="BF"/>
          <w:sz w:val="28"/>
          <w:szCs w:val="28"/>
        </w:rPr>
        <w:lastRenderedPageBreak/>
        <w:t xml:space="preserve">    </w:t>
      </w:r>
      <w:r>
        <w:rPr>
          <w:rFonts w:ascii="Arial" w:hAnsi="Arial" w:cs="Arial"/>
          <w:b/>
          <w:bCs/>
          <w:noProof/>
          <w:color w:val="404040" w:themeColor="text1" w:themeTint="BF"/>
          <w:sz w:val="28"/>
          <w:szCs w:val="28"/>
        </w:rPr>
        <w:t xml:space="preserve">GENDER </w:t>
      </w:r>
      <w:r w:rsidRPr="000A1AD1">
        <w:rPr>
          <w:rFonts w:ascii="Arial" w:hAnsi="Arial" w:cs="Arial"/>
          <w:b/>
          <w:bCs/>
          <w:noProof/>
          <w:color w:val="404040" w:themeColor="text1" w:themeTint="BF"/>
          <w:sz w:val="28"/>
          <w:szCs w:val="28"/>
        </w:rPr>
        <w:t>PAY GAP</w:t>
      </w:r>
      <w:r>
        <w:rPr>
          <w:rFonts w:ascii="Arial" w:hAnsi="Arial" w:cs="Arial"/>
          <w:b/>
          <w:bCs/>
          <w:noProof/>
          <w:color w:val="404040" w:themeColor="text1" w:themeTint="BF"/>
          <w:sz w:val="28"/>
          <w:szCs w:val="28"/>
        </w:rPr>
        <w:t xml:space="preserve">                                    GENDER </w:t>
      </w:r>
      <w:r w:rsidRPr="000A1AD1">
        <w:rPr>
          <w:rFonts w:ascii="Arial" w:hAnsi="Arial" w:cs="Arial"/>
          <w:b/>
          <w:bCs/>
          <w:noProof/>
          <w:color w:val="404040" w:themeColor="text1" w:themeTint="BF"/>
          <w:sz w:val="28"/>
          <w:szCs w:val="28"/>
        </w:rPr>
        <w:t>PAY GAP</w:t>
      </w:r>
    </w:p>
    <w:p w14:paraId="3BB85FA0" w14:textId="77777777" w:rsidR="00C64C51" w:rsidRDefault="00C64C51" w:rsidP="00C64C51">
      <w:pPr>
        <w:spacing w:before="118"/>
        <w:ind w:right="237"/>
        <w:rPr>
          <w:rFonts w:ascii="Arial" w:hAnsi="Arial" w:cs="Arial"/>
          <w:b/>
          <w:bCs/>
          <w:noProof/>
          <w:color w:val="C45911" w:themeColor="accent2" w:themeShade="BF"/>
          <w:sz w:val="44"/>
          <w:szCs w:val="44"/>
        </w:rPr>
      </w:pPr>
      <w:r w:rsidRPr="000A1AD1">
        <w:rPr>
          <w:rFonts w:ascii="Arial" w:hAnsi="Arial" w:cs="Arial"/>
          <w:noProof/>
          <w:color w:val="F4B083" w:themeColor="accent2" w:themeTint="99"/>
          <w:sz w:val="40"/>
          <w:szCs w:val="40"/>
        </w:rPr>
        <w:t xml:space="preserve">       </w:t>
      </w:r>
      <w:r>
        <w:rPr>
          <w:rFonts w:ascii="Arial" w:hAnsi="Arial" w:cs="Arial"/>
          <w:b/>
          <w:bCs/>
          <w:noProof/>
          <w:color w:val="C45911" w:themeColor="accent2" w:themeShade="BF"/>
          <w:sz w:val="44"/>
          <w:szCs w:val="44"/>
        </w:rPr>
        <w:t>16</w:t>
      </w:r>
      <w:r w:rsidRPr="000A1AD1">
        <w:rPr>
          <w:rFonts w:ascii="Arial" w:hAnsi="Arial" w:cs="Arial"/>
          <w:b/>
          <w:bCs/>
          <w:noProof/>
          <w:color w:val="C45911" w:themeColor="accent2" w:themeShade="BF"/>
          <w:sz w:val="44"/>
          <w:szCs w:val="44"/>
        </w:rPr>
        <w:t>.</w:t>
      </w:r>
      <w:r>
        <w:rPr>
          <w:rFonts w:ascii="Arial" w:hAnsi="Arial" w:cs="Arial"/>
          <w:b/>
          <w:bCs/>
          <w:noProof/>
          <w:color w:val="C45911" w:themeColor="accent2" w:themeShade="BF"/>
          <w:sz w:val="44"/>
          <w:szCs w:val="44"/>
        </w:rPr>
        <w:t>4</w:t>
      </w:r>
      <w:r w:rsidRPr="000A1AD1">
        <w:rPr>
          <w:rFonts w:ascii="Arial" w:hAnsi="Arial" w:cs="Arial"/>
          <w:b/>
          <w:bCs/>
          <w:noProof/>
          <w:color w:val="C45911" w:themeColor="accent2" w:themeShade="BF"/>
          <w:sz w:val="44"/>
          <w:szCs w:val="44"/>
        </w:rPr>
        <w:t>%</w:t>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r>
      <w:r>
        <w:rPr>
          <w:rFonts w:ascii="Arial" w:hAnsi="Arial" w:cs="Arial"/>
          <w:b/>
          <w:bCs/>
          <w:noProof/>
          <w:color w:val="C45911" w:themeColor="accent2" w:themeShade="BF"/>
          <w:sz w:val="44"/>
          <w:szCs w:val="44"/>
        </w:rPr>
        <w:tab/>
        <w:t>13.7%</w:t>
      </w:r>
    </w:p>
    <w:p w14:paraId="2B395252" w14:textId="77777777" w:rsidR="00C64C51" w:rsidRDefault="00C64C51" w:rsidP="00C64C51">
      <w:pPr>
        <w:spacing w:before="118"/>
        <w:ind w:right="237"/>
      </w:pPr>
    </w:p>
    <w:p w14:paraId="1E27A608" w14:textId="77777777" w:rsidR="00061C3D" w:rsidRDefault="00061C3D" w:rsidP="001A67A5">
      <w:pPr>
        <w:ind w:right="237"/>
        <w:rPr>
          <w:u w:val="single"/>
        </w:rPr>
      </w:pPr>
    </w:p>
    <w:p w14:paraId="50C3EE2E" w14:textId="77777777" w:rsidR="00061C3D" w:rsidRDefault="00061C3D" w:rsidP="001A67A5">
      <w:pPr>
        <w:ind w:right="237"/>
        <w:rPr>
          <w:u w:val="single"/>
        </w:rPr>
      </w:pPr>
    </w:p>
    <w:p w14:paraId="5C5F0EB8" w14:textId="77777777" w:rsidR="00061C3D" w:rsidRDefault="00061C3D" w:rsidP="001A67A5">
      <w:pPr>
        <w:ind w:right="237"/>
        <w:rPr>
          <w:u w:val="single"/>
        </w:rPr>
      </w:pPr>
    </w:p>
    <w:p w14:paraId="1E4C4B75" w14:textId="77777777" w:rsidR="00061C3D" w:rsidRDefault="00061C3D" w:rsidP="001A67A5">
      <w:pPr>
        <w:ind w:right="237"/>
        <w:rPr>
          <w:u w:val="single"/>
        </w:rPr>
      </w:pPr>
    </w:p>
    <w:p w14:paraId="5117DB6B" w14:textId="45C47F16" w:rsidR="00C64C51" w:rsidRPr="00A51C7F" w:rsidRDefault="00C64C51" w:rsidP="001A67A5">
      <w:pPr>
        <w:ind w:right="237"/>
        <w:rPr>
          <w:sz w:val="24"/>
          <w:szCs w:val="24"/>
        </w:rPr>
      </w:pPr>
      <w:r w:rsidRPr="00A51C7F">
        <w:rPr>
          <w:sz w:val="24"/>
          <w:szCs w:val="24"/>
          <w:u w:val="single"/>
        </w:rPr>
        <w:t>Actions to Close UoL Pay Gaps</w:t>
      </w:r>
      <w:r w:rsidRPr="00A51C7F">
        <w:rPr>
          <w:sz w:val="24"/>
          <w:szCs w:val="24"/>
        </w:rPr>
        <w:t xml:space="preserve"> – As detailed in the University of Leicester 2024 Pay Gaps Report, the University is taking a wide range of actions to ensure fairness and equity across all aspects of its employment provision including in relation to:</w:t>
      </w:r>
    </w:p>
    <w:p w14:paraId="1B498A97" w14:textId="77777777" w:rsidR="00C64C51" w:rsidRPr="00A51C7F" w:rsidRDefault="00C64C51" w:rsidP="00C64C51">
      <w:pPr>
        <w:ind w:left="709" w:right="237" w:hanging="709"/>
        <w:rPr>
          <w:sz w:val="24"/>
          <w:szCs w:val="24"/>
        </w:rPr>
      </w:pPr>
    </w:p>
    <w:p w14:paraId="6F5679DA" w14:textId="77777777" w:rsidR="00C64C51" w:rsidRPr="00A51C7F" w:rsidRDefault="00C64C51" w:rsidP="00C64C51">
      <w:pPr>
        <w:pStyle w:val="ListParagraph"/>
        <w:spacing w:before="0"/>
        <w:ind w:left="822" w:right="238" w:firstLine="0"/>
        <w:rPr>
          <w:i/>
          <w:iCs/>
          <w:sz w:val="24"/>
          <w:szCs w:val="24"/>
        </w:rPr>
      </w:pPr>
      <w:r w:rsidRPr="00A51C7F">
        <w:rPr>
          <w:i/>
          <w:iCs/>
          <w:sz w:val="24"/>
          <w:szCs w:val="24"/>
        </w:rPr>
        <w:t>Attracting and Retaining Staff:</w:t>
      </w:r>
    </w:p>
    <w:p w14:paraId="638D8678" w14:textId="77777777" w:rsidR="00C64C51" w:rsidRPr="00A51C7F" w:rsidRDefault="00C64C51" w:rsidP="00C64C51">
      <w:pPr>
        <w:pStyle w:val="ListParagraph"/>
        <w:numPr>
          <w:ilvl w:val="0"/>
          <w:numId w:val="3"/>
        </w:numPr>
        <w:spacing w:before="0"/>
        <w:ind w:left="1418" w:right="238"/>
        <w:rPr>
          <w:sz w:val="24"/>
          <w:szCs w:val="24"/>
        </w:rPr>
      </w:pPr>
      <w:r w:rsidRPr="00A51C7F">
        <w:rPr>
          <w:sz w:val="24"/>
          <w:szCs w:val="24"/>
        </w:rPr>
        <w:t>offering competitive pay and setting out our approach to pay and reward in open and transparent ways;</w:t>
      </w:r>
    </w:p>
    <w:p w14:paraId="40268680" w14:textId="21025C70" w:rsidR="00C64C51" w:rsidRPr="00A51C7F" w:rsidRDefault="00C64C51" w:rsidP="001A67A5">
      <w:pPr>
        <w:pStyle w:val="ListParagraph"/>
        <w:numPr>
          <w:ilvl w:val="0"/>
          <w:numId w:val="3"/>
        </w:numPr>
        <w:spacing w:before="0"/>
        <w:ind w:left="1418" w:right="238"/>
        <w:rPr>
          <w:sz w:val="24"/>
          <w:szCs w:val="24"/>
        </w:rPr>
      </w:pPr>
      <w:r w:rsidRPr="00A51C7F">
        <w:rPr>
          <w:sz w:val="24"/>
          <w:szCs w:val="24"/>
        </w:rPr>
        <w:t>continually reviewing and improving our recruitment practices and processes to ensure they are equitable and inclusive including by embedding the Inclusive Recruitment Toolkit, anonymous shortlisting for professional services roles, each departments receiving annual recruitment data health checks.</w:t>
      </w:r>
    </w:p>
    <w:p w14:paraId="2102C52D" w14:textId="77777777" w:rsidR="00C64C51" w:rsidRPr="00A51C7F" w:rsidRDefault="00C64C51" w:rsidP="00C64C51">
      <w:pPr>
        <w:pStyle w:val="ListParagraph"/>
        <w:spacing w:before="0"/>
        <w:ind w:left="1418" w:right="238" w:firstLine="0"/>
        <w:rPr>
          <w:sz w:val="24"/>
          <w:szCs w:val="24"/>
        </w:rPr>
      </w:pPr>
    </w:p>
    <w:p w14:paraId="02531FAD" w14:textId="77777777" w:rsidR="00C64C51" w:rsidRPr="00A51C7F" w:rsidRDefault="00C64C51" w:rsidP="00C64C51">
      <w:pPr>
        <w:ind w:left="709" w:right="238"/>
        <w:rPr>
          <w:i/>
          <w:iCs/>
          <w:sz w:val="24"/>
          <w:szCs w:val="24"/>
        </w:rPr>
      </w:pPr>
      <w:r w:rsidRPr="00A51C7F">
        <w:rPr>
          <w:i/>
          <w:iCs/>
          <w:sz w:val="24"/>
          <w:szCs w:val="24"/>
        </w:rPr>
        <w:t>Nurturing and Developing Staff:</w:t>
      </w:r>
    </w:p>
    <w:p w14:paraId="49F2D889" w14:textId="77777777" w:rsidR="00C64C51" w:rsidRPr="00A51C7F" w:rsidRDefault="00C64C51" w:rsidP="00C64C51">
      <w:pPr>
        <w:pStyle w:val="ListParagraph"/>
        <w:numPr>
          <w:ilvl w:val="0"/>
          <w:numId w:val="4"/>
        </w:numPr>
        <w:spacing w:before="0"/>
        <w:ind w:right="238"/>
        <w:rPr>
          <w:sz w:val="24"/>
          <w:szCs w:val="24"/>
        </w:rPr>
      </w:pPr>
      <w:r w:rsidRPr="00A51C7F">
        <w:rPr>
          <w:sz w:val="24"/>
          <w:szCs w:val="24"/>
        </w:rPr>
        <w:t>reinforcing our transformational approach to academic progression and promotion, created through the Leicester Academic Career Map;</w:t>
      </w:r>
    </w:p>
    <w:p w14:paraId="0469CB74" w14:textId="77777777" w:rsidR="00C64C51" w:rsidRPr="00A51C7F" w:rsidRDefault="00C64C51" w:rsidP="00C64C51">
      <w:pPr>
        <w:pStyle w:val="ListParagraph"/>
        <w:numPr>
          <w:ilvl w:val="0"/>
          <w:numId w:val="4"/>
        </w:numPr>
        <w:spacing w:before="0"/>
        <w:ind w:right="238"/>
        <w:rPr>
          <w:sz w:val="24"/>
          <w:szCs w:val="24"/>
        </w:rPr>
      </w:pPr>
      <w:r w:rsidRPr="00A51C7F">
        <w:rPr>
          <w:sz w:val="24"/>
          <w:szCs w:val="24"/>
        </w:rPr>
        <w:t>delivering our comprehensive suite of development and leadership programmes,</w:t>
      </w:r>
      <w:r w:rsidRPr="00A51C7F">
        <w:rPr>
          <w:sz w:val="24"/>
          <w:szCs w:val="24"/>
          <w:u w:val="single"/>
        </w:rPr>
        <w:t xml:space="preserve"> </w:t>
      </w:r>
      <w:r w:rsidRPr="00A51C7F">
        <w:rPr>
          <w:sz w:val="24"/>
          <w:szCs w:val="24"/>
        </w:rPr>
        <w:t>which have equity and unconscious bias awareness embedded throughout; 4.11</w:t>
      </w:r>
    </w:p>
    <w:p w14:paraId="69AED6C9" w14:textId="77777777" w:rsidR="00C64C51" w:rsidRPr="00A51C7F" w:rsidRDefault="00C64C51" w:rsidP="00C64C51">
      <w:pPr>
        <w:pStyle w:val="ListParagraph"/>
        <w:numPr>
          <w:ilvl w:val="0"/>
          <w:numId w:val="4"/>
        </w:numPr>
        <w:spacing w:before="0"/>
        <w:ind w:right="238"/>
        <w:rPr>
          <w:sz w:val="24"/>
          <w:szCs w:val="24"/>
        </w:rPr>
      </w:pPr>
      <w:r w:rsidRPr="00A51C7F">
        <w:rPr>
          <w:sz w:val="24"/>
          <w:szCs w:val="24"/>
        </w:rPr>
        <w:t xml:space="preserve">implementing mentoring and coaching to support through the academic promotion process;  </w:t>
      </w:r>
    </w:p>
    <w:p w14:paraId="7372DF51" w14:textId="77777777" w:rsidR="00C64C51" w:rsidRPr="00A51C7F" w:rsidRDefault="00C64C51" w:rsidP="00C64C51">
      <w:pPr>
        <w:pStyle w:val="ListParagraph"/>
        <w:spacing w:before="0"/>
        <w:ind w:left="2160" w:right="238" w:firstLine="0"/>
        <w:rPr>
          <w:sz w:val="24"/>
          <w:szCs w:val="24"/>
        </w:rPr>
      </w:pPr>
    </w:p>
    <w:p w14:paraId="18EE21C3" w14:textId="77777777" w:rsidR="00C64C51" w:rsidRPr="00A51C7F" w:rsidRDefault="00C64C51" w:rsidP="00C64C51">
      <w:pPr>
        <w:ind w:left="715" w:right="238"/>
        <w:rPr>
          <w:i/>
          <w:iCs/>
          <w:sz w:val="24"/>
          <w:szCs w:val="24"/>
        </w:rPr>
      </w:pPr>
      <w:r w:rsidRPr="00A51C7F">
        <w:rPr>
          <w:i/>
          <w:iCs/>
          <w:sz w:val="24"/>
          <w:szCs w:val="24"/>
        </w:rPr>
        <w:t>Valuing Equity and Diversity</w:t>
      </w:r>
    </w:p>
    <w:p w14:paraId="0291E8B8"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 xml:space="preserve">progressing our Institutional Athena Swan Charter Silver, Race Equality Charter Bronze and Disability Confident Leader action plan priorities; </w:t>
      </w:r>
    </w:p>
    <w:p w14:paraId="32999B22"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mandating all staff to complete both an EDI and Challenging Unconscious Bias online modules and line managers to complete Disability Confidence Training;</w:t>
      </w:r>
    </w:p>
    <w:p w14:paraId="49E13B59"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offering a portfolio of resource and leaning and development opportunities to support inclusivity, including LGBT+ and Disability toolkits;</w:t>
      </w:r>
    </w:p>
    <w:p w14:paraId="60AEA790"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improving disclosure rates of diversity data to enable improved understanding of barriers and disadvantage for equity groups;</w:t>
      </w:r>
    </w:p>
    <w:p w14:paraId="275F1E2C"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requiring all staff who sit on recruitment and selection panels to additionally complete training that specifically addresses bias in recruitment and selection processes;</w:t>
      </w:r>
    </w:p>
    <w:p w14:paraId="0715562E" w14:textId="77777777" w:rsidR="00C64C51" w:rsidRPr="00A51C7F" w:rsidRDefault="00C64C51" w:rsidP="00C64C51">
      <w:pPr>
        <w:pStyle w:val="ListParagraph"/>
        <w:numPr>
          <w:ilvl w:val="0"/>
          <w:numId w:val="5"/>
        </w:numPr>
        <w:spacing w:before="0"/>
        <w:ind w:left="1418" w:right="238"/>
        <w:rPr>
          <w:sz w:val="24"/>
          <w:szCs w:val="24"/>
        </w:rPr>
      </w:pPr>
      <w:r w:rsidRPr="00A51C7F">
        <w:rPr>
          <w:sz w:val="24"/>
          <w:szCs w:val="24"/>
        </w:rPr>
        <w:t>providing networking and support opportunities through our Four Staff Equity Fora and Carers and Parents Network;</w:t>
      </w:r>
    </w:p>
    <w:p w14:paraId="5897CE2B" w14:textId="77777777" w:rsidR="00C64C51" w:rsidRPr="00A51C7F" w:rsidRDefault="00C64C51" w:rsidP="00C64C51">
      <w:pPr>
        <w:ind w:left="715" w:right="238"/>
        <w:rPr>
          <w:sz w:val="24"/>
          <w:szCs w:val="24"/>
        </w:rPr>
      </w:pPr>
    </w:p>
    <w:p w14:paraId="52CD2EF2" w14:textId="77777777" w:rsidR="00C64C51" w:rsidRPr="00A51C7F" w:rsidRDefault="00C64C51" w:rsidP="00C64C51">
      <w:pPr>
        <w:ind w:left="715" w:right="238"/>
        <w:rPr>
          <w:i/>
          <w:iCs/>
          <w:sz w:val="24"/>
          <w:szCs w:val="24"/>
        </w:rPr>
      </w:pPr>
      <w:r w:rsidRPr="00A51C7F">
        <w:rPr>
          <w:i/>
          <w:iCs/>
          <w:sz w:val="24"/>
          <w:szCs w:val="24"/>
        </w:rPr>
        <w:t>Celebrating and Recognising Success:</w:t>
      </w:r>
    </w:p>
    <w:p w14:paraId="248EE643" w14:textId="77777777" w:rsidR="00C64C51" w:rsidRPr="00A51C7F" w:rsidRDefault="00C64C51" w:rsidP="00C64C51">
      <w:pPr>
        <w:pStyle w:val="ListParagraph"/>
        <w:numPr>
          <w:ilvl w:val="0"/>
          <w:numId w:val="6"/>
        </w:numPr>
        <w:spacing w:before="0"/>
        <w:ind w:left="1418" w:right="238"/>
        <w:rPr>
          <w:sz w:val="24"/>
          <w:szCs w:val="24"/>
        </w:rPr>
      </w:pPr>
      <w:r w:rsidRPr="00A51C7F">
        <w:rPr>
          <w:sz w:val="24"/>
          <w:szCs w:val="24"/>
        </w:rPr>
        <w:lastRenderedPageBreak/>
        <w:t>ensuring our approach to performance, reward, recognition and promotion is transparent, understandable and fair, including offering promotion workshops for minority ethnic and women staff.</w:t>
      </w:r>
    </w:p>
    <w:p w14:paraId="192464D8" w14:textId="77777777" w:rsidR="00C64C51" w:rsidRPr="00A51C7F" w:rsidRDefault="00C64C51" w:rsidP="00C64C51">
      <w:pPr>
        <w:pStyle w:val="ListParagraph"/>
        <w:numPr>
          <w:ilvl w:val="0"/>
          <w:numId w:val="6"/>
        </w:numPr>
        <w:spacing w:before="0"/>
        <w:ind w:left="1418" w:right="238"/>
        <w:rPr>
          <w:sz w:val="24"/>
          <w:szCs w:val="24"/>
        </w:rPr>
      </w:pPr>
      <w:r w:rsidRPr="00A51C7F">
        <w:rPr>
          <w:sz w:val="24"/>
          <w:szCs w:val="24"/>
        </w:rPr>
        <w:t>embedding evidence-based action in promotion processes, including providing demographic data and having bias observers on professorial panels.</w:t>
      </w:r>
    </w:p>
    <w:p w14:paraId="243D7768" w14:textId="77777777" w:rsidR="00C64C51" w:rsidRPr="00A51C7F" w:rsidRDefault="00C64C51" w:rsidP="00C64C51">
      <w:pPr>
        <w:pStyle w:val="ListParagraph"/>
        <w:spacing w:before="0"/>
        <w:ind w:left="1418" w:right="238" w:firstLine="0"/>
        <w:rPr>
          <w:sz w:val="24"/>
          <w:szCs w:val="24"/>
        </w:rPr>
      </w:pPr>
    </w:p>
    <w:p w14:paraId="651A8873" w14:textId="77777777" w:rsidR="00C64C51" w:rsidRPr="00A51C7F" w:rsidRDefault="00C64C51" w:rsidP="001A67A5">
      <w:pPr>
        <w:ind w:right="237"/>
        <w:rPr>
          <w:sz w:val="24"/>
          <w:szCs w:val="24"/>
        </w:rPr>
      </w:pPr>
      <w:r w:rsidRPr="00A51C7F">
        <w:rPr>
          <w:sz w:val="24"/>
          <w:szCs w:val="24"/>
          <w:u w:val="single"/>
        </w:rPr>
        <w:t>Further Actions to Close UoL Pay Gaps</w:t>
      </w:r>
      <w:r w:rsidRPr="00A51C7F">
        <w:rPr>
          <w:sz w:val="24"/>
          <w:szCs w:val="24"/>
        </w:rPr>
        <w:t xml:space="preserve">: During 2024/25, further interrogation of the disaggregated pay gap data will be completed to understand patterns and trends across pay grades and organisational areas. This analysis will feed into work already started with the 4 Equity Action Groups to identify further possible actions to close the pay gaps. </w:t>
      </w:r>
    </w:p>
    <w:p w14:paraId="08776D18" w14:textId="77777777" w:rsidR="008942A1" w:rsidRPr="00A51C7F" w:rsidRDefault="008942A1">
      <w:pPr>
        <w:rPr>
          <w:sz w:val="24"/>
          <w:szCs w:val="24"/>
        </w:rPr>
      </w:pPr>
    </w:p>
    <w:sectPr w:rsidR="008942A1" w:rsidRPr="00A51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26BF"/>
    <w:multiLevelType w:val="hybridMultilevel"/>
    <w:tmpl w:val="37DAF368"/>
    <w:lvl w:ilvl="0" w:tplc="3E3E394E">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440739"/>
    <w:multiLevelType w:val="hybridMultilevel"/>
    <w:tmpl w:val="7CC64D72"/>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 w15:restartNumberingAfterBreak="0">
    <w:nsid w:val="3F7D653C"/>
    <w:multiLevelType w:val="hybridMultilevel"/>
    <w:tmpl w:val="0D2A6A72"/>
    <w:lvl w:ilvl="0" w:tplc="3E3E394E">
      <w:start w:val="1"/>
      <w:numFmt w:val="bullet"/>
      <w:lvlText w:val="-"/>
      <w:lvlJc w:val="left"/>
      <w:pPr>
        <w:ind w:left="1445" w:hanging="360"/>
      </w:pPr>
      <w:rPr>
        <w:rFonts w:ascii="Calibri" w:hAnsi="Calibri"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3" w15:restartNumberingAfterBreak="0">
    <w:nsid w:val="42D951A5"/>
    <w:multiLevelType w:val="hybridMultilevel"/>
    <w:tmpl w:val="F4F2A362"/>
    <w:lvl w:ilvl="0" w:tplc="3E3E394E">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5632EA"/>
    <w:multiLevelType w:val="multilevel"/>
    <w:tmpl w:val="7AF8000C"/>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CE28D7"/>
    <w:multiLevelType w:val="multilevel"/>
    <w:tmpl w:val="59242D20"/>
    <w:lvl w:ilvl="0">
      <w:start w:val="4"/>
      <w:numFmt w:val="decimal"/>
      <w:lvlText w:val="%1."/>
      <w:lvlJc w:val="left"/>
      <w:pPr>
        <w:ind w:left="-1439" w:hanging="721"/>
      </w:pPr>
      <w:rPr>
        <w:rFonts w:hint="default"/>
        <w:b/>
        <w:bCs/>
        <w:i w:val="0"/>
        <w:iCs w:val="0"/>
        <w:w w:val="100"/>
        <w:sz w:val="22"/>
        <w:szCs w:val="22"/>
      </w:rPr>
    </w:lvl>
    <w:lvl w:ilvl="1">
      <w:start w:val="1"/>
      <w:numFmt w:val="decimal"/>
      <w:lvlText w:val="%1.%2."/>
      <w:lvlJc w:val="left"/>
      <w:pPr>
        <w:ind w:left="-1438" w:hanging="721"/>
      </w:pPr>
      <w:rPr>
        <w:rFonts w:hint="default"/>
        <w:spacing w:val="-2"/>
        <w:w w:val="100"/>
      </w:rPr>
    </w:lvl>
    <w:lvl w:ilvl="2">
      <w:start w:val="1"/>
      <w:numFmt w:val="decimal"/>
      <w:lvlText w:val="%1.%2.%3"/>
      <w:lvlJc w:val="left"/>
      <w:pPr>
        <w:ind w:left="721" w:hanging="721"/>
      </w:pPr>
      <w:rPr>
        <w:rFonts w:asciiTheme="minorHAnsi" w:hAnsiTheme="minorHAnsi" w:hint="default"/>
        <w:b w:val="0"/>
        <w:bCs w:val="0"/>
        <w:i w:val="0"/>
        <w:iCs w:val="0"/>
        <w:color w:val="auto"/>
        <w:spacing w:val="-1"/>
        <w:w w:val="100"/>
        <w:sz w:val="22"/>
        <w:szCs w:val="22"/>
      </w:rPr>
    </w:lvl>
    <w:lvl w:ilvl="3">
      <w:numFmt w:val="bullet"/>
      <w:lvlText w:val="-"/>
      <w:lvlJc w:val="left"/>
      <w:pPr>
        <w:ind w:left="-555" w:hanging="459"/>
      </w:pPr>
      <w:rPr>
        <w:rFonts w:ascii="Calibri" w:hAnsi="Calibri" w:hint="default"/>
        <w:b w:val="0"/>
        <w:bCs w:val="0"/>
        <w:i w:val="0"/>
        <w:iCs w:val="0"/>
        <w:w w:val="100"/>
        <w:sz w:val="22"/>
        <w:szCs w:val="22"/>
      </w:rPr>
    </w:lvl>
    <w:lvl w:ilvl="4">
      <w:numFmt w:val="bullet"/>
      <w:lvlText w:val="•"/>
      <w:lvlJc w:val="left"/>
      <w:pPr>
        <w:ind w:left="1634" w:hanging="459"/>
      </w:pPr>
      <w:rPr>
        <w:rFonts w:hint="default"/>
      </w:rPr>
    </w:lvl>
    <w:lvl w:ilvl="5">
      <w:numFmt w:val="bullet"/>
      <w:lvlText w:val="•"/>
      <w:lvlJc w:val="left"/>
      <w:pPr>
        <w:ind w:left="2725" w:hanging="459"/>
      </w:pPr>
      <w:rPr>
        <w:rFonts w:hint="default"/>
      </w:rPr>
    </w:lvl>
    <w:lvl w:ilvl="6">
      <w:start w:val="1"/>
      <w:numFmt w:val="decimal"/>
      <w:lvlText w:val="%7."/>
      <w:lvlJc w:val="left"/>
      <w:pPr>
        <w:ind w:left="3816" w:hanging="459"/>
      </w:pPr>
      <w:rPr>
        <w:rFonts w:hint="default"/>
      </w:rPr>
    </w:lvl>
    <w:lvl w:ilvl="7">
      <w:numFmt w:val="bullet"/>
      <w:lvlText w:val="•"/>
      <w:lvlJc w:val="left"/>
      <w:pPr>
        <w:ind w:left="4907" w:hanging="459"/>
      </w:pPr>
      <w:rPr>
        <w:rFonts w:hint="default"/>
      </w:rPr>
    </w:lvl>
    <w:lvl w:ilvl="8">
      <w:numFmt w:val="bullet"/>
      <w:lvlText w:val="•"/>
      <w:lvlJc w:val="left"/>
      <w:pPr>
        <w:ind w:left="5997" w:hanging="459"/>
      </w:pPr>
      <w:rPr>
        <w:rFonts w:hint="default"/>
      </w:rPr>
    </w:lvl>
  </w:abstractNum>
  <w:abstractNum w:abstractNumId="6" w15:restartNumberingAfterBreak="0">
    <w:nsid w:val="73886B67"/>
    <w:multiLevelType w:val="multilevel"/>
    <w:tmpl w:val="3AAC48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7E478A"/>
    <w:multiLevelType w:val="hybridMultilevel"/>
    <w:tmpl w:val="6178C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E6433A"/>
    <w:multiLevelType w:val="hybridMultilevel"/>
    <w:tmpl w:val="9EE0A02C"/>
    <w:lvl w:ilvl="0" w:tplc="3E3E394E">
      <w:start w:val="1"/>
      <w:numFmt w:val="bullet"/>
      <w:lvlText w:val="-"/>
      <w:lvlJc w:val="left"/>
      <w:pPr>
        <w:ind w:left="1542" w:hanging="360"/>
      </w:pPr>
      <w:rPr>
        <w:rFonts w:ascii="Calibri" w:hAnsi="Calibri"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0"/>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51"/>
    <w:rsid w:val="000134C7"/>
    <w:rsid w:val="00061C3D"/>
    <w:rsid w:val="00064CE0"/>
    <w:rsid w:val="00140336"/>
    <w:rsid w:val="001A67A5"/>
    <w:rsid w:val="002A127D"/>
    <w:rsid w:val="002D4335"/>
    <w:rsid w:val="0051364A"/>
    <w:rsid w:val="008942A1"/>
    <w:rsid w:val="008E3032"/>
    <w:rsid w:val="00A51C7F"/>
    <w:rsid w:val="00AD3846"/>
    <w:rsid w:val="00B300E8"/>
    <w:rsid w:val="00C64C51"/>
    <w:rsid w:val="00D65B42"/>
    <w:rsid w:val="00D72075"/>
    <w:rsid w:val="00D735A9"/>
    <w:rsid w:val="00EB5DBC"/>
    <w:rsid w:val="00F1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80E6"/>
  <w15:chartTrackingRefBased/>
  <w15:docId w15:val="{C6D1AFB6-DB73-471B-A0BB-7FCFF449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51"/>
    <w:pPr>
      <w:widowControl w:val="0"/>
      <w:autoSpaceDE w:val="0"/>
      <w:autoSpaceDN w:val="0"/>
      <w:spacing w:after="0" w:line="240" w:lineRule="auto"/>
    </w:pPr>
    <w:rPr>
      <w:rFonts w:ascii="Calibri" w:eastAsia="Calibri" w:hAnsi="Calibri" w:cs="Calibri"/>
      <w:lang w:val="en-US"/>
    </w:rPr>
  </w:style>
  <w:style w:type="paragraph" w:styleId="Heading7">
    <w:name w:val="heading 7"/>
    <w:basedOn w:val="Normal"/>
    <w:link w:val="Heading7Char"/>
    <w:uiPriority w:val="1"/>
    <w:qFormat/>
    <w:rsid w:val="00C64C51"/>
    <w:pPr>
      <w:ind w:left="1388" w:hanging="721"/>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C64C51"/>
    <w:rPr>
      <w:rFonts w:ascii="Calibri" w:eastAsia="Calibri" w:hAnsi="Calibri" w:cs="Calibri"/>
      <w:b/>
      <w:bCs/>
      <w:lang w:val="en-US"/>
    </w:rPr>
  </w:style>
  <w:style w:type="paragraph" w:styleId="ListParagraph">
    <w:name w:val="List Paragraph"/>
    <w:basedOn w:val="Normal"/>
    <w:uiPriority w:val="34"/>
    <w:qFormat/>
    <w:rsid w:val="00C64C51"/>
    <w:pPr>
      <w:spacing w:before="121"/>
      <w:ind w:left="1388" w:hanging="721"/>
    </w:pPr>
  </w:style>
  <w:style w:type="table" w:styleId="TableGrid">
    <w:name w:val="Table Grid"/>
    <w:basedOn w:val="TableNormal"/>
    <w:uiPriority w:val="39"/>
    <w:rsid w:val="00C6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C51"/>
    <w:rPr>
      <w:color w:val="0563C1"/>
      <w:u w:val="single"/>
    </w:rPr>
  </w:style>
  <w:style w:type="table" w:styleId="GridTable4-Accent1">
    <w:name w:val="Grid Table 4 Accent 1"/>
    <w:basedOn w:val="TableNormal"/>
    <w:uiPriority w:val="49"/>
    <w:rsid w:val="0051364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 Angie (Dr.)</dc:creator>
  <cp:keywords/>
  <dc:description/>
  <cp:lastModifiedBy>Lefley, Michaela</cp:lastModifiedBy>
  <cp:revision>7</cp:revision>
  <dcterms:created xsi:type="dcterms:W3CDTF">2025-03-19T16:28:00Z</dcterms:created>
  <dcterms:modified xsi:type="dcterms:W3CDTF">2025-03-19T17:22:00Z</dcterms:modified>
</cp:coreProperties>
</file>