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FA98" w14:textId="77777777" w:rsidR="009A5591" w:rsidRDefault="009A5591" w:rsidP="009A5591">
      <w:pPr>
        <w:spacing w:after="45" w:line="259" w:lineRule="auto"/>
        <w:ind w:left="0" w:firstLine="0"/>
        <w:jc w:val="center"/>
      </w:pPr>
      <w:r w:rsidRPr="00DD2A16">
        <w:rPr>
          <w:b/>
          <w:sz w:val="40"/>
        </w:rPr>
        <w:t>Student Sex Work Policy</w:t>
      </w:r>
    </w:p>
    <w:p w14:paraId="6B076E2F" w14:textId="77777777" w:rsidR="009A5591" w:rsidRDefault="009A5591" w:rsidP="009A5591">
      <w:pPr>
        <w:spacing w:after="0" w:line="259" w:lineRule="auto"/>
        <w:ind w:left="0" w:right="4488" w:firstLine="0"/>
      </w:pPr>
      <w:r>
        <w:rPr>
          <w:b/>
          <w:sz w:val="24"/>
        </w:rPr>
        <w:t xml:space="preserve"> </w:t>
      </w:r>
      <w:r>
        <w:t xml:space="preserve"> </w:t>
      </w:r>
    </w:p>
    <w:tbl>
      <w:tblPr>
        <w:tblStyle w:val="TableGrid"/>
        <w:tblW w:w="8450" w:type="dxa"/>
        <w:tblInd w:w="312" w:type="dxa"/>
        <w:tblCellMar>
          <w:top w:w="53" w:type="dxa"/>
          <w:left w:w="106" w:type="dxa"/>
          <w:right w:w="132" w:type="dxa"/>
        </w:tblCellMar>
        <w:tblLook w:val="04A0" w:firstRow="1" w:lastRow="0" w:firstColumn="1" w:lastColumn="0" w:noHBand="0" w:noVBand="1"/>
        <w:tblCaption w:val="Student Sex Work Policy details"/>
      </w:tblPr>
      <w:tblGrid>
        <w:gridCol w:w="3629"/>
        <w:gridCol w:w="4821"/>
      </w:tblGrid>
      <w:tr w:rsidR="009A5591" w:rsidRPr="006A773C" w14:paraId="7235B595" w14:textId="77777777" w:rsidTr="003B42EA">
        <w:trPr>
          <w:trHeight w:val="859"/>
          <w:tblHeader/>
        </w:trPr>
        <w:tc>
          <w:tcPr>
            <w:tcW w:w="3629" w:type="dxa"/>
            <w:tcBorders>
              <w:top w:val="single" w:sz="4" w:space="0" w:color="000000"/>
              <w:left w:val="single" w:sz="4" w:space="0" w:color="000000"/>
              <w:bottom w:val="single" w:sz="4" w:space="0" w:color="000000"/>
              <w:right w:val="single" w:sz="4" w:space="0" w:color="000000"/>
            </w:tcBorders>
          </w:tcPr>
          <w:p w14:paraId="171B0088"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For use in: </w:t>
            </w:r>
          </w:p>
        </w:tc>
        <w:tc>
          <w:tcPr>
            <w:tcW w:w="4821" w:type="dxa"/>
            <w:tcBorders>
              <w:top w:val="single" w:sz="4" w:space="0" w:color="000000"/>
              <w:left w:val="single" w:sz="4" w:space="0" w:color="000000"/>
              <w:bottom w:val="single" w:sz="4" w:space="0" w:color="000000"/>
              <w:right w:val="single" w:sz="4" w:space="0" w:color="000000"/>
            </w:tcBorders>
          </w:tcPr>
          <w:p w14:paraId="01F013D6" w14:textId="77777777" w:rsidR="009A5591" w:rsidRPr="006A773C" w:rsidRDefault="009A5591" w:rsidP="003B42EA">
            <w:pPr>
              <w:spacing w:after="0" w:line="259" w:lineRule="auto"/>
              <w:ind w:left="0" w:firstLine="0"/>
              <w:jc w:val="left"/>
              <w:rPr>
                <w:sz w:val="24"/>
                <w:szCs w:val="24"/>
              </w:rPr>
            </w:pPr>
            <w:r w:rsidRPr="006A773C">
              <w:rPr>
                <w:sz w:val="24"/>
                <w:szCs w:val="24"/>
              </w:rPr>
              <w:t xml:space="preserve">All Colleges/Schools/Departments of the University </w:t>
            </w:r>
          </w:p>
        </w:tc>
      </w:tr>
      <w:tr w:rsidR="009A5591" w:rsidRPr="006A773C" w14:paraId="31A2FA56" w14:textId="77777777" w:rsidTr="003B42EA">
        <w:trPr>
          <w:trHeight w:val="860"/>
        </w:trPr>
        <w:tc>
          <w:tcPr>
            <w:tcW w:w="3629" w:type="dxa"/>
            <w:tcBorders>
              <w:top w:val="single" w:sz="4" w:space="0" w:color="000000"/>
              <w:left w:val="single" w:sz="4" w:space="0" w:color="000000"/>
              <w:bottom w:val="single" w:sz="4" w:space="0" w:color="000000"/>
              <w:right w:val="single" w:sz="4" w:space="0" w:color="000000"/>
            </w:tcBorders>
          </w:tcPr>
          <w:p w14:paraId="118401DB"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For use by: </w:t>
            </w:r>
          </w:p>
        </w:tc>
        <w:tc>
          <w:tcPr>
            <w:tcW w:w="4821" w:type="dxa"/>
            <w:tcBorders>
              <w:top w:val="single" w:sz="4" w:space="0" w:color="000000"/>
              <w:left w:val="single" w:sz="4" w:space="0" w:color="000000"/>
              <w:bottom w:val="single" w:sz="4" w:space="0" w:color="000000"/>
              <w:right w:val="single" w:sz="4" w:space="0" w:color="000000"/>
            </w:tcBorders>
          </w:tcPr>
          <w:p w14:paraId="1047E82F" w14:textId="77777777" w:rsidR="009A5591" w:rsidRPr="006A773C" w:rsidRDefault="009A5591" w:rsidP="003B42EA">
            <w:pPr>
              <w:spacing w:after="0" w:line="259" w:lineRule="auto"/>
              <w:ind w:left="0" w:firstLine="0"/>
              <w:jc w:val="left"/>
              <w:rPr>
                <w:sz w:val="24"/>
                <w:szCs w:val="24"/>
              </w:rPr>
            </w:pPr>
            <w:r w:rsidRPr="006A773C">
              <w:rPr>
                <w:sz w:val="24"/>
                <w:szCs w:val="24"/>
              </w:rPr>
              <w:t>All staff and students</w:t>
            </w:r>
          </w:p>
        </w:tc>
      </w:tr>
      <w:tr w:rsidR="009A5591" w:rsidRPr="006A773C" w14:paraId="141A734E" w14:textId="77777777" w:rsidTr="003B42EA">
        <w:trPr>
          <w:trHeight w:val="862"/>
        </w:trPr>
        <w:tc>
          <w:tcPr>
            <w:tcW w:w="3629" w:type="dxa"/>
            <w:tcBorders>
              <w:top w:val="single" w:sz="4" w:space="0" w:color="000000"/>
              <w:left w:val="single" w:sz="4" w:space="0" w:color="000000"/>
              <w:bottom w:val="single" w:sz="4" w:space="0" w:color="000000"/>
              <w:right w:val="single" w:sz="4" w:space="0" w:color="000000"/>
            </w:tcBorders>
          </w:tcPr>
          <w:p w14:paraId="546A95F9"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Owner: </w:t>
            </w:r>
          </w:p>
        </w:tc>
        <w:tc>
          <w:tcPr>
            <w:tcW w:w="4821" w:type="dxa"/>
            <w:tcBorders>
              <w:top w:val="single" w:sz="4" w:space="0" w:color="000000"/>
              <w:left w:val="single" w:sz="4" w:space="0" w:color="000000"/>
              <w:bottom w:val="single" w:sz="4" w:space="0" w:color="000000"/>
              <w:right w:val="single" w:sz="4" w:space="0" w:color="000000"/>
            </w:tcBorders>
          </w:tcPr>
          <w:p w14:paraId="18085E68" w14:textId="77777777" w:rsidR="009A5591" w:rsidRPr="006A773C" w:rsidRDefault="009A5591" w:rsidP="003B42EA">
            <w:pPr>
              <w:spacing w:after="0" w:line="259" w:lineRule="auto"/>
              <w:ind w:left="0" w:firstLine="0"/>
              <w:jc w:val="left"/>
              <w:rPr>
                <w:sz w:val="24"/>
                <w:szCs w:val="24"/>
              </w:rPr>
            </w:pPr>
            <w:r w:rsidRPr="006A773C">
              <w:rPr>
                <w:sz w:val="24"/>
                <w:szCs w:val="24"/>
              </w:rPr>
              <w:t xml:space="preserve">The University of Leicester  </w:t>
            </w:r>
          </w:p>
        </w:tc>
      </w:tr>
      <w:tr w:rsidR="009A5591" w:rsidRPr="006A773C" w14:paraId="5F1BE2D6" w14:textId="77777777" w:rsidTr="003B42EA">
        <w:trPr>
          <w:trHeight w:val="859"/>
        </w:trPr>
        <w:tc>
          <w:tcPr>
            <w:tcW w:w="3629" w:type="dxa"/>
            <w:tcBorders>
              <w:top w:val="single" w:sz="4" w:space="0" w:color="000000"/>
              <w:left w:val="single" w:sz="4" w:space="0" w:color="000000"/>
              <w:bottom w:val="single" w:sz="4" w:space="0" w:color="000000"/>
              <w:right w:val="single" w:sz="4" w:space="0" w:color="000000"/>
            </w:tcBorders>
          </w:tcPr>
          <w:p w14:paraId="55C641AA"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Dates of Trade Union and Students’ Union Consultation: </w:t>
            </w:r>
          </w:p>
        </w:tc>
        <w:tc>
          <w:tcPr>
            <w:tcW w:w="4821" w:type="dxa"/>
            <w:tcBorders>
              <w:top w:val="single" w:sz="4" w:space="0" w:color="000000"/>
              <w:left w:val="single" w:sz="4" w:space="0" w:color="000000"/>
              <w:bottom w:val="single" w:sz="4" w:space="0" w:color="000000"/>
              <w:right w:val="single" w:sz="4" w:space="0" w:color="000000"/>
            </w:tcBorders>
          </w:tcPr>
          <w:p w14:paraId="31D1F7CB" w14:textId="77777777" w:rsidR="009A5591" w:rsidRPr="006A773C" w:rsidRDefault="009A5591" w:rsidP="003B42EA">
            <w:pPr>
              <w:spacing w:after="0" w:line="259" w:lineRule="auto"/>
              <w:ind w:left="0" w:firstLine="0"/>
              <w:jc w:val="left"/>
              <w:rPr>
                <w:sz w:val="24"/>
                <w:szCs w:val="24"/>
              </w:rPr>
            </w:pPr>
            <w:r w:rsidRPr="006A773C">
              <w:rPr>
                <w:sz w:val="24"/>
                <w:szCs w:val="24"/>
              </w:rPr>
              <w:t>August to September 2020</w:t>
            </w:r>
          </w:p>
        </w:tc>
      </w:tr>
      <w:tr w:rsidR="009A5591" w:rsidRPr="006A773C" w14:paraId="78780E07" w14:textId="77777777" w:rsidTr="003B42EA">
        <w:trPr>
          <w:trHeight w:val="1695"/>
        </w:trPr>
        <w:tc>
          <w:tcPr>
            <w:tcW w:w="3629" w:type="dxa"/>
            <w:tcBorders>
              <w:top w:val="single" w:sz="4" w:space="0" w:color="000000"/>
              <w:left w:val="single" w:sz="4" w:space="0" w:color="000000"/>
              <w:bottom w:val="single" w:sz="4" w:space="0" w:color="000000"/>
              <w:right w:val="single" w:sz="4" w:space="0" w:color="000000"/>
            </w:tcBorders>
          </w:tcPr>
          <w:p w14:paraId="4BDA1F82"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Contact: </w:t>
            </w:r>
          </w:p>
        </w:tc>
        <w:tc>
          <w:tcPr>
            <w:tcW w:w="4821" w:type="dxa"/>
            <w:tcBorders>
              <w:top w:val="single" w:sz="4" w:space="0" w:color="000000"/>
              <w:left w:val="single" w:sz="4" w:space="0" w:color="000000"/>
              <w:bottom w:val="single" w:sz="4" w:space="0" w:color="000000"/>
              <w:right w:val="single" w:sz="4" w:space="0" w:color="000000"/>
            </w:tcBorders>
          </w:tcPr>
          <w:p w14:paraId="09F78A0F" w14:textId="77777777" w:rsidR="009A5591" w:rsidRPr="006A773C" w:rsidRDefault="009A5591" w:rsidP="003B42EA">
            <w:pPr>
              <w:spacing w:after="0" w:line="259" w:lineRule="auto"/>
              <w:ind w:left="0" w:firstLine="0"/>
              <w:jc w:val="left"/>
              <w:rPr>
                <w:sz w:val="24"/>
                <w:szCs w:val="24"/>
              </w:rPr>
            </w:pPr>
            <w:r w:rsidRPr="006A773C">
              <w:rPr>
                <w:sz w:val="24"/>
                <w:szCs w:val="24"/>
              </w:rPr>
              <w:t>Dr Angie Pears, Interim Associate Director of EDI and Organisational Development</w:t>
            </w:r>
          </w:p>
        </w:tc>
      </w:tr>
      <w:tr w:rsidR="009A5591" w:rsidRPr="006A773C" w14:paraId="2CCEB951" w14:textId="77777777" w:rsidTr="003B42EA">
        <w:trPr>
          <w:trHeight w:val="1022"/>
        </w:trPr>
        <w:tc>
          <w:tcPr>
            <w:tcW w:w="3629" w:type="dxa"/>
            <w:tcBorders>
              <w:top w:val="single" w:sz="4" w:space="0" w:color="000000"/>
              <w:left w:val="single" w:sz="4" w:space="0" w:color="000000"/>
              <w:bottom w:val="single" w:sz="4" w:space="0" w:color="000000"/>
              <w:right w:val="single" w:sz="4" w:space="0" w:color="000000"/>
            </w:tcBorders>
          </w:tcPr>
          <w:p w14:paraId="30BF25AB" w14:textId="77777777" w:rsidR="009A5591" w:rsidRPr="006A773C" w:rsidRDefault="009A5591" w:rsidP="003B42EA">
            <w:pPr>
              <w:spacing w:after="20" w:line="259" w:lineRule="auto"/>
              <w:ind w:left="2" w:firstLine="0"/>
              <w:jc w:val="left"/>
              <w:rPr>
                <w:sz w:val="24"/>
                <w:szCs w:val="24"/>
              </w:rPr>
            </w:pPr>
            <w:r w:rsidRPr="006A773C">
              <w:rPr>
                <w:sz w:val="24"/>
                <w:szCs w:val="24"/>
              </w:rPr>
              <w:t>Policy approved by Executive Board</w:t>
            </w:r>
          </w:p>
        </w:tc>
        <w:tc>
          <w:tcPr>
            <w:tcW w:w="4821" w:type="dxa"/>
            <w:tcBorders>
              <w:top w:val="single" w:sz="4" w:space="0" w:color="000000"/>
              <w:left w:val="single" w:sz="4" w:space="0" w:color="000000"/>
              <w:bottom w:val="single" w:sz="4" w:space="0" w:color="000000"/>
              <w:right w:val="single" w:sz="4" w:space="0" w:color="000000"/>
            </w:tcBorders>
          </w:tcPr>
          <w:p w14:paraId="3014E62A" w14:textId="77777777" w:rsidR="009A5591" w:rsidRPr="006A773C" w:rsidRDefault="009A5591" w:rsidP="003B42EA">
            <w:pPr>
              <w:spacing w:after="0" w:line="259" w:lineRule="auto"/>
              <w:ind w:left="0" w:firstLine="0"/>
              <w:jc w:val="left"/>
              <w:rPr>
                <w:sz w:val="24"/>
                <w:szCs w:val="24"/>
              </w:rPr>
            </w:pPr>
            <w:r w:rsidRPr="006A773C">
              <w:rPr>
                <w:sz w:val="24"/>
                <w:szCs w:val="24"/>
              </w:rPr>
              <w:t>November 2020</w:t>
            </w:r>
          </w:p>
        </w:tc>
      </w:tr>
      <w:tr w:rsidR="009A5591" w:rsidRPr="006A773C" w14:paraId="0D7B43EC" w14:textId="77777777" w:rsidTr="003B42EA">
        <w:trPr>
          <w:trHeight w:val="859"/>
        </w:trPr>
        <w:tc>
          <w:tcPr>
            <w:tcW w:w="3629" w:type="dxa"/>
            <w:tcBorders>
              <w:top w:val="single" w:sz="4" w:space="0" w:color="000000"/>
              <w:left w:val="single" w:sz="4" w:space="0" w:color="000000"/>
              <w:bottom w:val="single" w:sz="4" w:space="0" w:color="000000"/>
              <w:right w:val="single" w:sz="4" w:space="0" w:color="000000"/>
            </w:tcBorders>
          </w:tcPr>
          <w:p w14:paraId="11A82D06" w14:textId="77777777" w:rsidR="009A5591" w:rsidRPr="006A773C" w:rsidRDefault="009A5591" w:rsidP="003B42EA">
            <w:pPr>
              <w:spacing w:after="0" w:line="259" w:lineRule="auto"/>
              <w:ind w:left="2" w:firstLine="0"/>
              <w:jc w:val="left"/>
              <w:rPr>
                <w:sz w:val="24"/>
                <w:szCs w:val="24"/>
              </w:rPr>
            </w:pPr>
            <w:r w:rsidRPr="006A773C">
              <w:rPr>
                <w:sz w:val="24"/>
                <w:szCs w:val="24"/>
              </w:rPr>
              <w:t xml:space="preserve">Review Date: </w:t>
            </w:r>
          </w:p>
        </w:tc>
        <w:tc>
          <w:tcPr>
            <w:tcW w:w="4821" w:type="dxa"/>
            <w:tcBorders>
              <w:top w:val="single" w:sz="4" w:space="0" w:color="000000"/>
              <w:left w:val="single" w:sz="4" w:space="0" w:color="000000"/>
              <w:bottom w:val="single" w:sz="4" w:space="0" w:color="000000"/>
              <w:right w:val="single" w:sz="4" w:space="0" w:color="000000"/>
            </w:tcBorders>
          </w:tcPr>
          <w:p w14:paraId="7BD3F56D" w14:textId="77777777" w:rsidR="009A5591" w:rsidRPr="006A773C" w:rsidRDefault="009A5591" w:rsidP="003B42EA">
            <w:pPr>
              <w:spacing w:after="0" w:line="259" w:lineRule="auto"/>
              <w:ind w:left="0" w:firstLine="0"/>
              <w:jc w:val="left"/>
              <w:rPr>
                <w:sz w:val="24"/>
                <w:szCs w:val="24"/>
              </w:rPr>
            </w:pPr>
            <w:r w:rsidRPr="006A773C">
              <w:rPr>
                <w:sz w:val="24"/>
                <w:szCs w:val="24"/>
              </w:rPr>
              <w:t xml:space="preserve">December </w:t>
            </w:r>
            <w:r>
              <w:rPr>
                <w:sz w:val="24"/>
                <w:szCs w:val="24"/>
              </w:rPr>
              <w:t>2025</w:t>
            </w:r>
          </w:p>
        </w:tc>
      </w:tr>
    </w:tbl>
    <w:p w14:paraId="4CE968CF" w14:textId="77777777" w:rsidR="009A5591" w:rsidRDefault="009A5591" w:rsidP="009A5591">
      <w:pPr>
        <w:spacing w:after="0" w:line="259" w:lineRule="auto"/>
        <w:ind w:left="47" w:firstLine="0"/>
        <w:jc w:val="center"/>
      </w:pPr>
      <w:r>
        <w:rPr>
          <w:b/>
          <w:sz w:val="24"/>
        </w:rPr>
        <w:t xml:space="preserve"> </w:t>
      </w:r>
    </w:p>
    <w:p w14:paraId="3166B041" w14:textId="77777777" w:rsidR="009A5591" w:rsidRDefault="009A5591">
      <w:pPr>
        <w:spacing w:after="160" w:line="259" w:lineRule="auto"/>
        <w:ind w:left="0" w:firstLine="0"/>
        <w:jc w:val="left"/>
      </w:pPr>
      <w:r>
        <w:br w:type="page"/>
      </w:r>
    </w:p>
    <w:p w14:paraId="4B848C66" w14:textId="77777777" w:rsidR="009A5591" w:rsidRDefault="009A5591" w:rsidP="009A5591">
      <w:pPr>
        <w:ind w:left="0" w:firstLine="0"/>
        <w:rPr>
          <w:b/>
          <w:sz w:val="24"/>
          <w:szCs w:val="24"/>
        </w:rPr>
      </w:pPr>
    </w:p>
    <w:p w14:paraId="370AF647" w14:textId="77777777" w:rsidR="009A5591" w:rsidRPr="00AF4DD3" w:rsidRDefault="009A5591" w:rsidP="009A5591">
      <w:pPr>
        <w:ind w:left="0" w:firstLine="0"/>
        <w:rPr>
          <w:b/>
          <w:sz w:val="24"/>
          <w:szCs w:val="24"/>
        </w:rPr>
      </w:pPr>
      <w:r w:rsidRPr="00AF4DD3">
        <w:rPr>
          <w:b/>
          <w:sz w:val="24"/>
          <w:szCs w:val="24"/>
        </w:rPr>
        <w:t>CONTENTS</w:t>
      </w:r>
    </w:p>
    <w:sdt>
      <w:sdtPr>
        <w:rPr>
          <w:rFonts w:eastAsia="Calibri" w:cs="Calibri"/>
          <w:b w:val="0"/>
          <w:color w:val="000000"/>
          <w:sz w:val="22"/>
          <w:szCs w:val="22"/>
          <w:lang w:val="en-GB" w:eastAsia="en-GB"/>
        </w:rPr>
        <w:id w:val="-722983364"/>
        <w:docPartObj>
          <w:docPartGallery w:val="Table of Contents"/>
          <w:docPartUnique/>
        </w:docPartObj>
      </w:sdtPr>
      <w:sdtEndPr>
        <w:rPr>
          <w:bCs/>
          <w:noProof/>
        </w:rPr>
      </w:sdtEndPr>
      <w:sdtContent>
        <w:p w14:paraId="3A96D7BD" w14:textId="77777777" w:rsidR="009A5591" w:rsidRDefault="009A5591" w:rsidP="009A5591">
          <w:pPr>
            <w:pStyle w:val="TOCHeading"/>
          </w:pPr>
        </w:p>
        <w:p w14:paraId="47DF2E40" w14:textId="77777777" w:rsidR="009A5591" w:rsidRDefault="009A5591" w:rsidP="009A5591">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11025061" w:history="1">
            <w:r w:rsidRPr="00EE6849">
              <w:rPr>
                <w:rStyle w:val="Hyperlink"/>
                <w:bCs/>
                <w:noProof/>
                <w:u w:color="000000"/>
              </w:rPr>
              <w:t>1.</w:t>
            </w:r>
            <w:r>
              <w:rPr>
                <w:rFonts w:asciiTheme="minorHAnsi" w:eastAsiaTheme="minorEastAsia" w:hAnsiTheme="minorHAnsi" w:cstheme="minorBidi"/>
                <w:noProof/>
                <w:color w:val="auto"/>
              </w:rPr>
              <w:tab/>
            </w:r>
            <w:r w:rsidRPr="00EE6849">
              <w:rPr>
                <w:rStyle w:val="Hyperlink"/>
                <w:noProof/>
              </w:rPr>
              <w:t>PURPOSE OF POLICY</w:t>
            </w:r>
            <w:r>
              <w:rPr>
                <w:noProof/>
                <w:webHidden/>
              </w:rPr>
              <w:tab/>
            </w:r>
            <w:r>
              <w:rPr>
                <w:noProof/>
                <w:webHidden/>
              </w:rPr>
              <w:fldChar w:fldCharType="begin"/>
            </w:r>
            <w:r>
              <w:rPr>
                <w:noProof/>
                <w:webHidden/>
              </w:rPr>
              <w:instrText xml:space="preserve"> PAGEREF _Toc111025061 \h </w:instrText>
            </w:r>
            <w:r>
              <w:rPr>
                <w:noProof/>
                <w:webHidden/>
              </w:rPr>
            </w:r>
            <w:r>
              <w:rPr>
                <w:noProof/>
                <w:webHidden/>
              </w:rPr>
              <w:fldChar w:fldCharType="separate"/>
            </w:r>
            <w:r>
              <w:rPr>
                <w:noProof/>
                <w:webHidden/>
              </w:rPr>
              <w:t>3</w:t>
            </w:r>
            <w:r>
              <w:rPr>
                <w:noProof/>
                <w:webHidden/>
              </w:rPr>
              <w:fldChar w:fldCharType="end"/>
            </w:r>
          </w:hyperlink>
        </w:p>
        <w:p w14:paraId="57FE16C1" w14:textId="77777777" w:rsidR="009A5591" w:rsidRDefault="00000000" w:rsidP="009A5591">
          <w:pPr>
            <w:pStyle w:val="TOC1"/>
            <w:rPr>
              <w:rFonts w:asciiTheme="minorHAnsi" w:eastAsiaTheme="minorEastAsia" w:hAnsiTheme="minorHAnsi" w:cstheme="minorBidi"/>
              <w:noProof/>
              <w:color w:val="auto"/>
            </w:rPr>
          </w:pPr>
          <w:hyperlink w:anchor="_Toc111025062" w:history="1">
            <w:r w:rsidR="009A5591" w:rsidRPr="00EE6849">
              <w:rPr>
                <w:rStyle w:val="Hyperlink"/>
                <w:bCs/>
                <w:noProof/>
                <w:u w:color="000000"/>
              </w:rPr>
              <w:t>2.</w:t>
            </w:r>
            <w:r w:rsidR="009A5591">
              <w:rPr>
                <w:rFonts w:asciiTheme="minorHAnsi" w:eastAsiaTheme="minorEastAsia" w:hAnsiTheme="minorHAnsi" w:cstheme="minorBidi"/>
                <w:noProof/>
                <w:color w:val="auto"/>
              </w:rPr>
              <w:tab/>
            </w:r>
            <w:r w:rsidR="009A5591" w:rsidRPr="00EE6849">
              <w:rPr>
                <w:rStyle w:val="Hyperlink"/>
                <w:noProof/>
              </w:rPr>
              <w:t>STUDENT SEX WORK POLICY STATEMENT</w:t>
            </w:r>
            <w:r w:rsidR="009A5591">
              <w:rPr>
                <w:noProof/>
                <w:webHidden/>
              </w:rPr>
              <w:tab/>
            </w:r>
            <w:r w:rsidR="009A5591">
              <w:rPr>
                <w:noProof/>
                <w:webHidden/>
              </w:rPr>
              <w:fldChar w:fldCharType="begin"/>
            </w:r>
            <w:r w:rsidR="009A5591">
              <w:rPr>
                <w:noProof/>
                <w:webHidden/>
              </w:rPr>
              <w:instrText xml:space="preserve"> PAGEREF _Toc111025062 \h </w:instrText>
            </w:r>
            <w:r w:rsidR="009A5591">
              <w:rPr>
                <w:noProof/>
                <w:webHidden/>
              </w:rPr>
            </w:r>
            <w:r w:rsidR="009A5591">
              <w:rPr>
                <w:noProof/>
                <w:webHidden/>
              </w:rPr>
              <w:fldChar w:fldCharType="separate"/>
            </w:r>
            <w:r w:rsidR="009A5591">
              <w:rPr>
                <w:noProof/>
                <w:webHidden/>
              </w:rPr>
              <w:t>3</w:t>
            </w:r>
            <w:r w:rsidR="009A5591">
              <w:rPr>
                <w:noProof/>
                <w:webHidden/>
              </w:rPr>
              <w:fldChar w:fldCharType="end"/>
            </w:r>
          </w:hyperlink>
        </w:p>
        <w:p w14:paraId="49BBCB38" w14:textId="77777777" w:rsidR="009A5591" w:rsidRDefault="00000000" w:rsidP="009A5591">
          <w:pPr>
            <w:pStyle w:val="TOC1"/>
            <w:rPr>
              <w:rFonts w:asciiTheme="minorHAnsi" w:eastAsiaTheme="minorEastAsia" w:hAnsiTheme="minorHAnsi" w:cstheme="minorBidi"/>
              <w:noProof/>
              <w:color w:val="auto"/>
            </w:rPr>
          </w:pPr>
          <w:hyperlink w:anchor="_Toc111025063" w:history="1">
            <w:r w:rsidR="009A5591" w:rsidRPr="00EE6849">
              <w:rPr>
                <w:rStyle w:val="Hyperlink"/>
                <w:bCs/>
                <w:noProof/>
                <w:u w:color="000000"/>
              </w:rPr>
              <w:t>3.</w:t>
            </w:r>
            <w:r w:rsidR="009A5591">
              <w:rPr>
                <w:rFonts w:asciiTheme="minorHAnsi" w:eastAsiaTheme="minorEastAsia" w:hAnsiTheme="minorHAnsi" w:cstheme="minorBidi"/>
                <w:noProof/>
                <w:color w:val="auto"/>
              </w:rPr>
              <w:tab/>
            </w:r>
            <w:r w:rsidR="009A5591" w:rsidRPr="00EE6849">
              <w:rPr>
                <w:rStyle w:val="Hyperlink"/>
                <w:noProof/>
              </w:rPr>
              <w:t>SCOPE OF POLICY</w:t>
            </w:r>
            <w:r w:rsidR="009A5591">
              <w:rPr>
                <w:noProof/>
                <w:webHidden/>
              </w:rPr>
              <w:tab/>
            </w:r>
            <w:r w:rsidR="009A5591">
              <w:rPr>
                <w:noProof/>
                <w:webHidden/>
              </w:rPr>
              <w:fldChar w:fldCharType="begin"/>
            </w:r>
            <w:r w:rsidR="009A5591">
              <w:rPr>
                <w:noProof/>
                <w:webHidden/>
              </w:rPr>
              <w:instrText xml:space="preserve"> PAGEREF _Toc111025063 \h </w:instrText>
            </w:r>
            <w:r w:rsidR="009A5591">
              <w:rPr>
                <w:noProof/>
                <w:webHidden/>
              </w:rPr>
            </w:r>
            <w:r w:rsidR="009A5591">
              <w:rPr>
                <w:noProof/>
                <w:webHidden/>
              </w:rPr>
              <w:fldChar w:fldCharType="separate"/>
            </w:r>
            <w:r w:rsidR="009A5591">
              <w:rPr>
                <w:noProof/>
                <w:webHidden/>
              </w:rPr>
              <w:t>4</w:t>
            </w:r>
            <w:r w:rsidR="009A5591">
              <w:rPr>
                <w:noProof/>
                <w:webHidden/>
              </w:rPr>
              <w:fldChar w:fldCharType="end"/>
            </w:r>
          </w:hyperlink>
        </w:p>
        <w:p w14:paraId="44700CC5" w14:textId="77777777" w:rsidR="009A5591" w:rsidRDefault="00000000" w:rsidP="009A5591">
          <w:pPr>
            <w:pStyle w:val="TOC1"/>
            <w:rPr>
              <w:rFonts w:asciiTheme="minorHAnsi" w:eastAsiaTheme="minorEastAsia" w:hAnsiTheme="minorHAnsi" w:cstheme="minorBidi"/>
              <w:noProof/>
              <w:color w:val="auto"/>
            </w:rPr>
          </w:pPr>
          <w:hyperlink w:anchor="_Toc111025064" w:history="1">
            <w:r w:rsidR="009A5591" w:rsidRPr="00EE6849">
              <w:rPr>
                <w:rStyle w:val="Hyperlink"/>
                <w:bCs/>
                <w:noProof/>
                <w:u w:color="000000"/>
              </w:rPr>
              <w:t>4.</w:t>
            </w:r>
            <w:r w:rsidR="009A5591">
              <w:rPr>
                <w:rFonts w:asciiTheme="minorHAnsi" w:eastAsiaTheme="minorEastAsia" w:hAnsiTheme="minorHAnsi" w:cstheme="minorBidi"/>
                <w:noProof/>
                <w:color w:val="auto"/>
              </w:rPr>
              <w:tab/>
            </w:r>
            <w:r w:rsidR="009A5591" w:rsidRPr="00EE6849">
              <w:rPr>
                <w:rStyle w:val="Hyperlink"/>
                <w:noProof/>
              </w:rPr>
              <w:t>DEFINITIONS AND BEHAVIOURS</w:t>
            </w:r>
            <w:r w:rsidR="009A5591">
              <w:rPr>
                <w:noProof/>
                <w:webHidden/>
              </w:rPr>
              <w:tab/>
            </w:r>
            <w:r w:rsidR="009A5591">
              <w:rPr>
                <w:noProof/>
                <w:webHidden/>
              </w:rPr>
              <w:fldChar w:fldCharType="begin"/>
            </w:r>
            <w:r w:rsidR="009A5591">
              <w:rPr>
                <w:noProof/>
                <w:webHidden/>
              </w:rPr>
              <w:instrText xml:space="preserve"> PAGEREF _Toc111025064 \h </w:instrText>
            </w:r>
            <w:r w:rsidR="009A5591">
              <w:rPr>
                <w:noProof/>
                <w:webHidden/>
              </w:rPr>
            </w:r>
            <w:r w:rsidR="009A5591">
              <w:rPr>
                <w:noProof/>
                <w:webHidden/>
              </w:rPr>
              <w:fldChar w:fldCharType="separate"/>
            </w:r>
            <w:r w:rsidR="009A5591">
              <w:rPr>
                <w:noProof/>
                <w:webHidden/>
              </w:rPr>
              <w:t>4</w:t>
            </w:r>
            <w:r w:rsidR="009A5591">
              <w:rPr>
                <w:noProof/>
                <w:webHidden/>
              </w:rPr>
              <w:fldChar w:fldCharType="end"/>
            </w:r>
          </w:hyperlink>
        </w:p>
        <w:p w14:paraId="19A6AAD9" w14:textId="77777777" w:rsidR="009A5591" w:rsidRDefault="00000000" w:rsidP="009A5591">
          <w:pPr>
            <w:pStyle w:val="TOC1"/>
            <w:rPr>
              <w:rFonts w:asciiTheme="minorHAnsi" w:eastAsiaTheme="minorEastAsia" w:hAnsiTheme="minorHAnsi" w:cstheme="minorBidi"/>
              <w:noProof/>
              <w:color w:val="auto"/>
            </w:rPr>
          </w:pPr>
          <w:hyperlink w:anchor="_Toc111025065" w:history="1">
            <w:r w:rsidR="009A5591" w:rsidRPr="00EE6849">
              <w:rPr>
                <w:rStyle w:val="Hyperlink"/>
                <w:bCs/>
                <w:noProof/>
                <w:u w:color="000000"/>
              </w:rPr>
              <w:t>5.</w:t>
            </w:r>
            <w:r w:rsidR="009A5591">
              <w:rPr>
                <w:rFonts w:asciiTheme="minorHAnsi" w:eastAsiaTheme="minorEastAsia" w:hAnsiTheme="minorHAnsi" w:cstheme="minorBidi"/>
                <w:noProof/>
                <w:color w:val="auto"/>
              </w:rPr>
              <w:tab/>
            </w:r>
            <w:r w:rsidR="009A5591" w:rsidRPr="00EE6849">
              <w:rPr>
                <w:rStyle w:val="Hyperlink"/>
                <w:noProof/>
              </w:rPr>
              <w:t>ROLES AND RESPONSIBILITIES</w:t>
            </w:r>
            <w:r w:rsidR="009A5591">
              <w:rPr>
                <w:noProof/>
                <w:webHidden/>
              </w:rPr>
              <w:tab/>
            </w:r>
            <w:r w:rsidR="009A5591">
              <w:rPr>
                <w:noProof/>
                <w:webHidden/>
              </w:rPr>
              <w:fldChar w:fldCharType="begin"/>
            </w:r>
            <w:r w:rsidR="009A5591">
              <w:rPr>
                <w:noProof/>
                <w:webHidden/>
              </w:rPr>
              <w:instrText xml:space="preserve"> PAGEREF _Toc111025065 \h </w:instrText>
            </w:r>
            <w:r w:rsidR="009A5591">
              <w:rPr>
                <w:noProof/>
                <w:webHidden/>
              </w:rPr>
            </w:r>
            <w:r w:rsidR="009A5591">
              <w:rPr>
                <w:noProof/>
                <w:webHidden/>
              </w:rPr>
              <w:fldChar w:fldCharType="separate"/>
            </w:r>
            <w:r w:rsidR="009A5591">
              <w:rPr>
                <w:noProof/>
                <w:webHidden/>
              </w:rPr>
              <w:t>5</w:t>
            </w:r>
            <w:r w:rsidR="009A5591">
              <w:rPr>
                <w:noProof/>
                <w:webHidden/>
              </w:rPr>
              <w:fldChar w:fldCharType="end"/>
            </w:r>
          </w:hyperlink>
        </w:p>
        <w:p w14:paraId="29F51309" w14:textId="77777777" w:rsidR="009A5591" w:rsidRDefault="00000000" w:rsidP="009A5591">
          <w:pPr>
            <w:pStyle w:val="TOC1"/>
            <w:rPr>
              <w:rFonts w:asciiTheme="minorHAnsi" w:eastAsiaTheme="minorEastAsia" w:hAnsiTheme="minorHAnsi" w:cstheme="minorBidi"/>
              <w:noProof/>
              <w:color w:val="auto"/>
            </w:rPr>
          </w:pPr>
          <w:hyperlink w:anchor="_Toc111025066" w:history="1">
            <w:r w:rsidR="009A5591" w:rsidRPr="00EE6849">
              <w:rPr>
                <w:rStyle w:val="Hyperlink"/>
                <w:bCs/>
                <w:noProof/>
                <w:u w:color="000000"/>
              </w:rPr>
              <w:t>6.</w:t>
            </w:r>
            <w:r w:rsidR="009A5591">
              <w:rPr>
                <w:rFonts w:asciiTheme="minorHAnsi" w:eastAsiaTheme="minorEastAsia" w:hAnsiTheme="minorHAnsi" w:cstheme="minorBidi"/>
                <w:noProof/>
                <w:color w:val="auto"/>
              </w:rPr>
              <w:tab/>
            </w:r>
            <w:r w:rsidR="009A5591" w:rsidRPr="00EE6849">
              <w:rPr>
                <w:rStyle w:val="Hyperlink"/>
                <w:noProof/>
              </w:rPr>
              <w:t>LINKED POLICIES, PROCEDURES, GUIDELINES AND LEGAL FRAMEWORK</w:t>
            </w:r>
            <w:r w:rsidR="009A5591">
              <w:rPr>
                <w:noProof/>
                <w:webHidden/>
              </w:rPr>
              <w:tab/>
            </w:r>
            <w:r w:rsidR="009A5591">
              <w:rPr>
                <w:noProof/>
                <w:webHidden/>
              </w:rPr>
              <w:fldChar w:fldCharType="begin"/>
            </w:r>
            <w:r w:rsidR="009A5591">
              <w:rPr>
                <w:noProof/>
                <w:webHidden/>
              </w:rPr>
              <w:instrText xml:space="preserve"> PAGEREF _Toc111025066 \h </w:instrText>
            </w:r>
            <w:r w:rsidR="009A5591">
              <w:rPr>
                <w:noProof/>
                <w:webHidden/>
              </w:rPr>
            </w:r>
            <w:r w:rsidR="009A5591">
              <w:rPr>
                <w:noProof/>
                <w:webHidden/>
              </w:rPr>
              <w:fldChar w:fldCharType="separate"/>
            </w:r>
            <w:r w:rsidR="009A5591">
              <w:rPr>
                <w:noProof/>
                <w:webHidden/>
              </w:rPr>
              <w:t>5</w:t>
            </w:r>
            <w:r w:rsidR="009A5591">
              <w:rPr>
                <w:noProof/>
                <w:webHidden/>
              </w:rPr>
              <w:fldChar w:fldCharType="end"/>
            </w:r>
          </w:hyperlink>
        </w:p>
        <w:p w14:paraId="39E80FB2" w14:textId="77777777" w:rsidR="009A5591" w:rsidRDefault="00000000" w:rsidP="009A5591">
          <w:pPr>
            <w:pStyle w:val="TOC1"/>
            <w:rPr>
              <w:rFonts w:asciiTheme="minorHAnsi" w:eastAsiaTheme="minorEastAsia" w:hAnsiTheme="minorHAnsi" w:cstheme="minorBidi"/>
              <w:noProof/>
              <w:color w:val="auto"/>
            </w:rPr>
          </w:pPr>
          <w:hyperlink w:anchor="_Toc111025067" w:history="1">
            <w:r w:rsidR="009A5591" w:rsidRPr="00EE6849">
              <w:rPr>
                <w:rStyle w:val="Hyperlink"/>
                <w:bCs/>
                <w:noProof/>
                <w:u w:color="000000"/>
              </w:rPr>
              <w:t>7.</w:t>
            </w:r>
            <w:r w:rsidR="009A5591">
              <w:rPr>
                <w:rFonts w:asciiTheme="minorHAnsi" w:eastAsiaTheme="minorEastAsia" w:hAnsiTheme="minorHAnsi" w:cstheme="minorBidi"/>
                <w:noProof/>
                <w:color w:val="auto"/>
              </w:rPr>
              <w:tab/>
            </w:r>
            <w:r w:rsidR="009A5591" w:rsidRPr="00EE6849">
              <w:rPr>
                <w:rStyle w:val="Hyperlink"/>
                <w:noProof/>
              </w:rPr>
              <w:t>EQUALITY ANALYSIS</w:t>
            </w:r>
            <w:r w:rsidR="009A5591">
              <w:rPr>
                <w:noProof/>
                <w:webHidden/>
              </w:rPr>
              <w:tab/>
            </w:r>
            <w:r w:rsidR="009A5591">
              <w:rPr>
                <w:noProof/>
                <w:webHidden/>
              </w:rPr>
              <w:fldChar w:fldCharType="begin"/>
            </w:r>
            <w:r w:rsidR="009A5591">
              <w:rPr>
                <w:noProof/>
                <w:webHidden/>
              </w:rPr>
              <w:instrText xml:space="preserve"> PAGEREF _Toc111025067 \h </w:instrText>
            </w:r>
            <w:r w:rsidR="009A5591">
              <w:rPr>
                <w:noProof/>
                <w:webHidden/>
              </w:rPr>
            </w:r>
            <w:r w:rsidR="009A5591">
              <w:rPr>
                <w:noProof/>
                <w:webHidden/>
              </w:rPr>
              <w:fldChar w:fldCharType="separate"/>
            </w:r>
            <w:r w:rsidR="009A5591">
              <w:rPr>
                <w:noProof/>
                <w:webHidden/>
              </w:rPr>
              <w:t>5</w:t>
            </w:r>
            <w:r w:rsidR="009A5591">
              <w:rPr>
                <w:noProof/>
                <w:webHidden/>
              </w:rPr>
              <w:fldChar w:fldCharType="end"/>
            </w:r>
          </w:hyperlink>
        </w:p>
        <w:p w14:paraId="16AEE7D3" w14:textId="77777777" w:rsidR="009A5591" w:rsidRDefault="009A5591" w:rsidP="009A5591">
          <w:pPr>
            <w:rPr>
              <w:b/>
              <w:bCs/>
              <w:noProof/>
            </w:rPr>
          </w:pPr>
          <w:r>
            <w:rPr>
              <w:b/>
              <w:bCs/>
              <w:noProof/>
            </w:rPr>
            <w:fldChar w:fldCharType="end"/>
          </w:r>
        </w:p>
      </w:sdtContent>
    </w:sdt>
    <w:p w14:paraId="4F003A0E" w14:textId="77777777" w:rsidR="009A5591" w:rsidRDefault="009A5591">
      <w:pPr>
        <w:spacing w:after="160" w:line="259" w:lineRule="auto"/>
        <w:ind w:left="0" w:firstLine="0"/>
        <w:jc w:val="left"/>
        <w:rPr>
          <w:b/>
          <w:bCs/>
          <w:noProof/>
        </w:rPr>
      </w:pPr>
      <w:r>
        <w:rPr>
          <w:b/>
          <w:bCs/>
          <w:noProof/>
        </w:rPr>
        <w:br w:type="page"/>
      </w:r>
    </w:p>
    <w:p w14:paraId="56C011F6" w14:textId="77777777" w:rsidR="004C3DF6" w:rsidRDefault="004C3DF6" w:rsidP="009A5591"/>
    <w:p w14:paraId="217DF345" w14:textId="77777777" w:rsidR="009A5591" w:rsidRDefault="009A5591" w:rsidP="009A5591">
      <w:pPr>
        <w:pStyle w:val="Heading1"/>
        <w:spacing w:before="0" w:line="259" w:lineRule="auto"/>
        <w:ind w:left="345" w:hanging="360"/>
        <w:jc w:val="left"/>
      </w:pPr>
      <w:bookmarkStart w:id="0" w:name="_Toc111025061"/>
      <w:r>
        <w:t>PURPOSE OF POLICY</w:t>
      </w:r>
      <w:bookmarkEnd w:id="0"/>
      <w:r>
        <w:t xml:space="preserve"> </w:t>
      </w:r>
    </w:p>
    <w:p w14:paraId="77EA5CEE" w14:textId="77777777" w:rsidR="009A5591" w:rsidRDefault="009A5591" w:rsidP="009A5591">
      <w:pPr>
        <w:spacing w:after="12" w:line="259" w:lineRule="auto"/>
        <w:ind w:left="360" w:firstLine="0"/>
        <w:jc w:val="left"/>
      </w:pPr>
      <w:r>
        <w:rPr>
          <w:b/>
        </w:rPr>
        <w:t xml:space="preserve">  </w:t>
      </w:r>
    </w:p>
    <w:p w14:paraId="74FBFF82" w14:textId="77777777" w:rsidR="009A5591" w:rsidRPr="00EE5463" w:rsidRDefault="009A5591" w:rsidP="009A5591">
      <w:pPr>
        <w:ind w:left="412" w:firstLine="0"/>
      </w:pPr>
      <w:r w:rsidRPr="00EE5463">
        <w:t>1.1.</w:t>
      </w:r>
      <w:r w:rsidRPr="00EE5463">
        <w:rPr>
          <w:rFonts w:ascii="Arial" w:eastAsia="Arial" w:hAnsi="Arial" w:cs="Arial"/>
        </w:rPr>
        <w:t xml:space="preserve"> </w:t>
      </w:r>
      <w:r w:rsidRPr="00EE5463">
        <w:t xml:space="preserve">The purpose of the </w:t>
      </w:r>
      <w:r w:rsidRPr="00E86792">
        <w:t>Student Sex Work Policy at</w:t>
      </w:r>
      <w:r w:rsidRPr="00EE5463">
        <w:t xml:space="preserve"> Leicester (‘the Policy’) is to:</w:t>
      </w:r>
      <w:r w:rsidRPr="00EE5463">
        <w:rPr>
          <w:b/>
          <w:sz w:val="20"/>
        </w:rPr>
        <w:t xml:space="preserve"> </w:t>
      </w:r>
    </w:p>
    <w:p w14:paraId="0286118C" w14:textId="77777777" w:rsidR="009A5591" w:rsidRPr="00836703" w:rsidRDefault="009A5591" w:rsidP="009A5591">
      <w:pPr>
        <w:spacing w:after="14" w:line="259" w:lineRule="auto"/>
        <w:ind w:left="852" w:firstLine="0"/>
        <w:jc w:val="left"/>
      </w:pPr>
      <w:r w:rsidRPr="00EE5463">
        <w:rPr>
          <w:sz w:val="20"/>
        </w:rPr>
        <w:t xml:space="preserve"> </w:t>
      </w:r>
      <w:r w:rsidRPr="00C414F1">
        <w:t xml:space="preserve">Ensure that any students who </w:t>
      </w:r>
      <w:r w:rsidRPr="00E86792">
        <w:rPr>
          <w:color w:val="000000" w:themeColor="text1"/>
        </w:rPr>
        <w:t xml:space="preserve">are sex workers </w:t>
      </w:r>
      <w:r>
        <w:rPr>
          <w:color w:val="000000" w:themeColor="text1"/>
        </w:rPr>
        <w:t xml:space="preserve">are positively supported, with their personal wellbeing and safety being considered as a priority. </w:t>
      </w:r>
    </w:p>
    <w:p w14:paraId="6C5BC9F3" w14:textId="77777777" w:rsidR="009A5591" w:rsidRDefault="009A5591" w:rsidP="009A5591">
      <w:pPr>
        <w:numPr>
          <w:ilvl w:val="0"/>
          <w:numId w:val="1"/>
        </w:numPr>
        <w:spacing w:after="38"/>
        <w:ind w:hanging="360"/>
      </w:pPr>
      <w:r>
        <w:rPr>
          <w:color w:val="000000" w:themeColor="text1"/>
        </w:rPr>
        <w:t>Fulfil our legal obligation to safeguard vulnerable adults and children, and our duty of care over the student body and those with whom they may interact.</w:t>
      </w:r>
    </w:p>
    <w:p w14:paraId="185F61EC" w14:textId="77777777" w:rsidR="009A5591" w:rsidRPr="00C414F1" w:rsidRDefault="009A5591" w:rsidP="009A5591">
      <w:pPr>
        <w:numPr>
          <w:ilvl w:val="0"/>
          <w:numId w:val="1"/>
        </w:numPr>
        <w:spacing w:after="38"/>
        <w:ind w:hanging="360"/>
      </w:pPr>
      <w:r w:rsidRPr="00C414F1">
        <w:t xml:space="preserve">Set out the University’s responsibilities, duty of care and its commitment to an inclusive, respectful, positive and safe environment. </w:t>
      </w:r>
    </w:p>
    <w:p w14:paraId="1E3C61D8" w14:textId="77777777" w:rsidR="009A5591" w:rsidRPr="00C414F1" w:rsidRDefault="009A5591" w:rsidP="009A5591">
      <w:pPr>
        <w:numPr>
          <w:ilvl w:val="0"/>
          <w:numId w:val="1"/>
        </w:numPr>
        <w:spacing w:after="38"/>
        <w:ind w:hanging="360"/>
      </w:pPr>
      <w:r>
        <w:t>E</w:t>
      </w:r>
      <w:r w:rsidRPr="00C414F1">
        <w:t xml:space="preserve">nsure </w:t>
      </w:r>
      <w:r>
        <w:t xml:space="preserve">that </w:t>
      </w:r>
      <w:r w:rsidRPr="00C414F1">
        <w:t xml:space="preserve">University staff are aware of their responsibilities to support students through a non-judgemental approach. </w:t>
      </w:r>
    </w:p>
    <w:p w14:paraId="0D825D69" w14:textId="77777777" w:rsidR="009A5591" w:rsidRPr="00C414F1" w:rsidRDefault="009A5591" w:rsidP="009A5591">
      <w:pPr>
        <w:numPr>
          <w:ilvl w:val="0"/>
          <w:numId w:val="1"/>
        </w:numPr>
        <w:spacing w:after="35"/>
        <w:ind w:hanging="360"/>
      </w:pPr>
      <w:r w:rsidRPr="00C414F1">
        <w:t xml:space="preserve">Positively contribute to maintaining the University community’s health, safety and wellbeing. </w:t>
      </w:r>
    </w:p>
    <w:p w14:paraId="5D4632A0" w14:textId="77777777" w:rsidR="009A5591" w:rsidRPr="006E7ADB" w:rsidRDefault="009A5591" w:rsidP="009A5591">
      <w:pPr>
        <w:spacing w:after="12" w:line="259" w:lineRule="auto"/>
        <w:ind w:left="1560" w:firstLine="0"/>
        <w:jc w:val="left"/>
        <w:rPr>
          <w:highlight w:val="green"/>
        </w:rPr>
      </w:pPr>
    </w:p>
    <w:p w14:paraId="691107C7" w14:textId="77777777" w:rsidR="009A5591" w:rsidRDefault="009A5591" w:rsidP="009A5591">
      <w:pPr>
        <w:ind w:left="847"/>
      </w:pPr>
      <w:r w:rsidRPr="00EE5463">
        <w:t>1.2.</w:t>
      </w:r>
      <w:r w:rsidRPr="00EE5463">
        <w:rPr>
          <w:rFonts w:ascii="Arial" w:eastAsia="Arial" w:hAnsi="Arial" w:cs="Arial"/>
        </w:rPr>
        <w:t xml:space="preserve"> </w:t>
      </w:r>
      <w:r w:rsidRPr="00EE5463">
        <w:t xml:space="preserve">This policy has been informed by the </w:t>
      </w:r>
      <w:r w:rsidRPr="00DD2A16">
        <w:t>relevant legislative framework, policing</w:t>
      </w:r>
      <w:r>
        <w:t xml:space="preserve"> guidance</w:t>
      </w:r>
      <w:r w:rsidRPr="00EE5463">
        <w:t xml:space="preserve">, </w:t>
      </w:r>
      <w:r>
        <w:t xml:space="preserve">research </w:t>
      </w:r>
      <w:r w:rsidRPr="00EE5463">
        <w:t>and established best practice.</w:t>
      </w:r>
      <w:r>
        <w:t xml:space="preserve"> However, the University has no control over external professional regulatory bodies, and so some content below may not be fully applicable to students and staff from the Schools of Allied Health Professions, Medicine, Education and Law.</w:t>
      </w:r>
    </w:p>
    <w:p w14:paraId="4D644D76" w14:textId="77777777" w:rsidR="009A5591" w:rsidRDefault="009A5591" w:rsidP="009A5591">
      <w:pPr>
        <w:spacing w:after="11" w:line="259" w:lineRule="auto"/>
        <w:ind w:left="1001" w:firstLine="0"/>
        <w:jc w:val="left"/>
      </w:pPr>
      <w:r>
        <w:t xml:space="preserve"> </w:t>
      </w:r>
    </w:p>
    <w:p w14:paraId="1BFC7E7D" w14:textId="77777777" w:rsidR="009A5591" w:rsidRDefault="009A5591" w:rsidP="009A5591">
      <w:pPr>
        <w:pStyle w:val="Heading1"/>
        <w:spacing w:before="0" w:line="259" w:lineRule="auto"/>
        <w:ind w:left="345" w:hanging="360"/>
        <w:jc w:val="left"/>
      </w:pPr>
      <w:bookmarkStart w:id="1" w:name="_Toc111025062"/>
      <w:r>
        <w:t>STUDENT SEX WORK POLICY STATEMENT</w:t>
      </w:r>
      <w:bookmarkEnd w:id="1"/>
      <w:r>
        <w:t xml:space="preserve"> </w:t>
      </w:r>
    </w:p>
    <w:p w14:paraId="408D33FD" w14:textId="77777777" w:rsidR="009A5591" w:rsidRPr="00782D4C" w:rsidRDefault="009A5591" w:rsidP="009A5591">
      <w:pPr>
        <w:spacing w:after="12" w:line="259" w:lineRule="auto"/>
        <w:ind w:left="360" w:firstLine="0"/>
        <w:jc w:val="left"/>
        <w:rPr>
          <w:rFonts w:asciiTheme="minorHAnsi" w:hAnsiTheme="minorHAnsi" w:cstheme="minorHAnsi"/>
        </w:rPr>
      </w:pPr>
      <w:r w:rsidRPr="00782D4C">
        <w:rPr>
          <w:rFonts w:asciiTheme="minorHAnsi" w:hAnsiTheme="minorHAnsi" w:cstheme="minorHAnsi"/>
          <w:b/>
        </w:rPr>
        <w:t xml:space="preserve"> </w:t>
      </w:r>
    </w:p>
    <w:p w14:paraId="04103BB1" w14:textId="77777777" w:rsidR="009A5591" w:rsidRDefault="009A5591" w:rsidP="009A5591">
      <w:pPr>
        <w:ind w:left="847"/>
        <w:rPr>
          <w:rFonts w:asciiTheme="minorHAnsi" w:eastAsia="Arial" w:hAnsiTheme="minorHAnsi" w:cstheme="minorHAnsi"/>
        </w:rPr>
      </w:pPr>
      <w:r w:rsidRPr="00782D4C">
        <w:rPr>
          <w:rFonts w:asciiTheme="minorHAnsi" w:hAnsiTheme="minorHAnsi" w:cstheme="minorHAnsi"/>
        </w:rPr>
        <w:t>2.1.</w:t>
      </w:r>
      <w:r w:rsidRPr="00782D4C">
        <w:rPr>
          <w:rFonts w:asciiTheme="minorHAnsi" w:eastAsia="Arial" w:hAnsiTheme="minorHAnsi" w:cstheme="minorHAnsi"/>
        </w:rPr>
        <w:t xml:space="preserve"> The University is firmly committed to sustaining an inclusive</w:t>
      </w:r>
      <w:r>
        <w:rPr>
          <w:rFonts w:asciiTheme="minorHAnsi" w:eastAsia="Arial" w:hAnsiTheme="minorHAnsi" w:cstheme="minorHAnsi"/>
        </w:rPr>
        <w:t xml:space="preserve"> learning, working and research </w:t>
      </w:r>
      <w:r w:rsidRPr="00782D4C">
        <w:rPr>
          <w:rFonts w:asciiTheme="minorHAnsi" w:eastAsia="Arial" w:hAnsiTheme="minorHAnsi" w:cstheme="minorHAnsi"/>
        </w:rPr>
        <w:t xml:space="preserve">environment </w:t>
      </w:r>
      <w:r>
        <w:rPr>
          <w:rFonts w:asciiTheme="minorHAnsi" w:eastAsia="Arial" w:hAnsiTheme="minorHAnsi" w:cstheme="minorHAnsi"/>
        </w:rPr>
        <w:t>for all students, th</w:t>
      </w:r>
      <w:r w:rsidRPr="00782D4C">
        <w:rPr>
          <w:rFonts w:asciiTheme="minorHAnsi" w:eastAsia="Arial" w:hAnsiTheme="minorHAnsi" w:cstheme="minorHAnsi"/>
        </w:rPr>
        <w:t>is includes</w:t>
      </w:r>
      <w:r>
        <w:rPr>
          <w:rFonts w:asciiTheme="minorHAnsi" w:eastAsia="Arial" w:hAnsiTheme="minorHAnsi" w:cstheme="minorHAnsi"/>
        </w:rPr>
        <w:t xml:space="preserve"> students earning money or other commodities through sex work</w:t>
      </w:r>
      <w:r w:rsidRPr="00782D4C">
        <w:rPr>
          <w:rFonts w:asciiTheme="minorHAnsi" w:eastAsia="Arial" w:hAnsiTheme="minorHAnsi" w:cstheme="minorHAnsi"/>
        </w:rPr>
        <w:t xml:space="preserve">. </w:t>
      </w:r>
      <w:r>
        <w:rPr>
          <w:rFonts w:asciiTheme="minorHAnsi" w:eastAsia="Arial" w:hAnsiTheme="minorHAnsi" w:cstheme="minorHAnsi"/>
        </w:rPr>
        <w:t xml:space="preserve">We recognise the social stigma associated with sex work and support students who earn a living through sex work. Students may increasingly turn to sex work to fund their studies. </w:t>
      </w:r>
      <w:r w:rsidRPr="002B1346">
        <w:rPr>
          <w:rFonts w:asciiTheme="minorHAnsi" w:eastAsia="Arial" w:hAnsiTheme="minorHAnsi" w:cstheme="minorHAnsi"/>
          <w:color w:val="000000" w:themeColor="text1"/>
        </w:rPr>
        <w:t xml:space="preserve">‘Outing’ </w:t>
      </w:r>
      <w:r>
        <w:rPr>
          <w:rFonts w:asciiTheme="minorHAnsi" w:eastAsia="Arial" w:hAnsiTheme="minorHAnsi" w:cstheme="minorHAnsi"/>
        </w:rPr>
        <w:t xml:space="preserve">individuals about their status without their consent puts students at risk of harm. </w:t>
      </w:r>
    </w:p>
    <w:p w14:paraId="7DCEB36A" w14:textId="77777777" w:rsidR="009A5591" w:rsidRPr="004C6CB1" w:rsidRDefault="009A5591" w:rsidP="009A5591">
      <w:pPr>
        <w:spacing w:after="12" w:line="259" w:lineRule="auto"/>
        <w:ind w:left="0" w:firstLine="0"/>
        <w:jc w:val="left"/>
      </w:pPr>
    </w:p>
    <w:p w14:paraId="7DC5D999" w14:textId="77777777" w:rsidR="009A5591" w:rsidRDefault="009A5591" w:rsidP="009A5591">
      <w:r w:rsidRPr="004C6CB1">
        <w:t>2.2.</w:t>
      </w:r>
      <w:r w:rsidRPr="004C6CB1">
        <w:rPr>
          <w:rFonts w:ascii="Arial" w:eastAsia="Arial" w:hAnsi="Arial" w:cs="Arial"/>
        </w:rPr>
        <w:t xml:space="preserve"> </w:t>
      </w:r>
      <w:r w:rsidRPr="004C6CB1">
        <w:t xml:space="preserve">All members of the University community are expected to behave with respect and courtesy at all times, </w:t>
      </w:r>
      <w:r>
        <w:t xml:space="preserve">and operate with a non-judgemental and supportive attitude. </w:t>
      </w:r>
      <w:hyperlink r:id="rId8" w:history="1">
        <w:r>
          <w:rPr>
            <w:rStyle w:val="Hyperlink"/>
            <w:rFonts w:asciiTheme="minorHAnsi" w:hAnsiTheme="minorHAnsi" w:cstheme="minorHAnsi"/>
            <w:color w:val="0070C0"/>
          </w:rPr>
          <w:t>The Dignity and Respect at Leicester P</w:t>
        </w:r>
        <w:r w:rsidRPr="00B41BB9">
          <w:rPr>
            <w:rStyle w:val="Hyperlink"/>
            <w:rFonts w:asciiTheme="minorHAnsi" w:hAnsiTheme="minorHAnsi" w:cstheme="minorHAnsi"/>
            <w:color w:val="0070C0"/>
          </w:rPr>
          <w:t>olicy</w:t>
        </w:r>
      </w:hyperlink>
      <w:r w:rsidRPr="00B41BB9">
        <w:rPr>
          <w:rFonts w:asciiTheme="minorHAnsi" w:hAnsiTheme="minorHAnsi" w:cstheme="minorHAnsi"/>
          <w:color w:val="0070C0"/>
        </w:rPr>
        <w:t xml:space="preserve"> </w:t>
      </w:r>
      <w:r w:rsidRPr="00F87D39">
        <w:rPr>
          <w:rFonts w:asciiTheme="minorHAnsi" w:hAnsiTheme="minorHAnsi" w:cstheme="minorHAnsi"/>
        </w:rPr>
        <w:t xml:space="preserve">identifies some behaviours that are unacceptable which have a clear legal definition and have the ability to be dealt with under the relevant legal framework.  </w:t>
      </w:r>
      <w:r>
        <w:rPr>
          <w:rFonts w:asciiTheme="minorHAnsi" w:hAnsiTheme="minorHAnsi" w:cstheme="minorHAnsi"/>
        </w:rPr>
        <w:t xml:space="preserve">The University will manage </w:t>
      </w:r>
      <w:r>
        <w:rPr>
          <w:rFonts w:asciiTheme="minorHAnsi" w:eastAsia="Arial" w:hAnsiTheme="minorHAnsi" w:cstheme="minorHAnsi"/>
        </w:rPr>
        <w:t>r</w:t>
      </w:r>
      <w:r w:rsidRPr="00F87D39">
        <w:rPr>
          <w:rFonts w:asciiTheme="minorHAnsi" w:eastAsia="Arial" w:hAnsiTheme="minorHAnsi" w:cstheme="minorHAnsi"/>
        </w:rPr>
        <w:t>eported</w:t>
      </w:r>
      <w:r w:rsidRPr="00F87D39">
        <w:rPr>
          <w:rFonts w:asciiTheme="minorHAnsi" w:hAnsiTheme="minorHAnsi" w:cstheme="minorHAnsi"/>
        </w:rPr>
        <w:t xml:space="preserve"> behaviours perceived by an individual to be unacceptable will be under the relevant </w:t>
      </w:r>
      <w:r>
        <w:rPr>
          <w:rFonts w:asciiTheme="minorHAnsi" w:hAnsiTheme="minorHAnsi" w:cstheme="minorHAnsi"/>
        </w:rPr>
        <w:t xml:space="preserve">Regulations and </w:t>
      </w:r>
      <w:r w:rsidRPr="00F87D39">
        <w:rPr>
          <w:rFonts w:asciiTheme="minorHAnsi" w:hAnsiTheme="minorHAnsi" w:cstheme="minorHAnsi"/>
        </w:rPr>
        <w:t>procedures</w:t>
      </w:r>
      <w:r>
        <w:rPr>
          <w:rFonts w:asciiTheme="minorHAnsi" w:hAnsiTheme="minorHAnsi" w:cstheme="minorHAnsi"/>
        </w:rPr>
        <w:t>, and it will provide support accordingly. Possible reported behaviours</w:t>
      </w:r>
      <w:r>
        <w:t xml:space="preserve"> are those that do not </w:t>
      </w:r>
      <w:r w:rsidRPr="00F87D39">
        <w:t xml:space="preserve">demonstrate due regard for the feelings and rights of others, and </w:t>
      </w:r>
      <w:r>
        <w:t>do not</w:t>
      </w:r>
      <w:r w:rsidRPr="00F87D39">
        <w:t xml:space="preserve"> create an environment where dignity can be preserved and enhanced</w:t>
      </w:r>
      <w:r>
        <w:t>,</w:t>
      </w:r>
      <w:r w:rsidRPr="00F87D39">
        <w:t xml:space="preserve"> as detailed in th</w:t>
      </w:r>
      <w:hyperlink r:id="rId9">
        <w:r w:rsidRPr="00F87D39">
          <w:t xml:space="preserve">e </w:t>
        </w:r>
      </w:hyperlink>
      <w:hyperlink r:id="rId10">
        <w:r w:rsidRPr="00B41BB9">
          <w:rPr>
            <w:color w:val="0070C0"/>
            <w:u w:val="single" w:color="0563C1"/>
          </w:rPr>
          <w:t>Dignity and Respect at Leicester Policy and Definitions Document</w:t>
        </w:r>
      </w:hyperlink>
      <w:hyperlink r:id="rId11">
        <w:r w:rsidRPr="00F87D39">
          <w:t>.</w:t>
        </w:r>
      </w:hyperlink>
      <w:r w:rsidRPr="004C6CB1">
        <w:t xml:space="preserve">    </w:t>
      </w:r>
    </w:p>
    <w:p w14:paraId="2A39B899" w14:textId="77777777" w:rsidR="009A5591" w:rsidRPr="004C6CB1" w:rsidRDefault="009A5591" w:rsidP="009A5591">
      <w:pPr>
        <w:spacing w:after="12" w:line="259" w:lineRule="auto"/>
        <w:ind w:left="0" w:firstLine="0"/>
        <w:jc w:val="left"/>
      </w:pPr>
    </w:p>
    <w:p w14:paraId="036B7C5C" w14:textId="77777777" w:rsidR="009A5591" w:rsidRDefault="009A5591" w:rsidP="009A5591">
      <w:pPr>
        <w:ind w:left="847"/>
      </w:pPr>
      <w:r w:rsidRPr="004C6CB1">
        <w:t>2.3.</w:t>
      </w:r>
      <w:r w:rsidRPr="004C6CB1">
        <w:rPr>
          <w:rFonts w:ascii="Arial" w:eastAsia="Arial" w:hAnsi="Arial" w:cs="Arial"/>
        </w:rPr>
        <w:t xml:space="preserve"> </w:t>
      </w:r>
      <w:r w:rsidRPr="004C6CB1">
        <w:t xml:space="preserve">It is expected that each member of the University community will contribute to ensuring that the University of Leicester is a safe, welcoming and productive environment, where there is equality of opportunity and valuing of diversity, fostered in an environment of mutual respect and dignity. </w:t>
      </w:r>
      <w:r>
        <w:t xml:space="preserve">Where there is considerable social stigma directed at sex workers, this group of students are recognised for their potentially vulnerable characteristics and this policy works to protect them. </w:t>
      </w:r>
      <w:r>
        <w:rPr>
          <w:rFonts w:ascii="Times New Roman" w:eastAsia="Times New Roman" w:hAnsi="Times New Roman" w:cs="Times New Roman"/>
          <w:sz w:val="20"/>
        </w:rPr>
        <w:t xml:space="preserve"> </w:t>
      </w:r>
    </w:p>
    <w:p w14:paraId="4D8E806E" w14:textId="77777777" w:rsidR="009A5591" w:rsidRDefault="009A5591" w:rsidP="009A5591"/>
    <w:p w14:paraId="6EE1DFD6" w14:textId="77777777" w:rsidR="009A5591" w:rsidRDefault="009A5591" w:rsidP="009A5591"/>
    <w:p w14:paraId="6A5519D0" w14:textId="77777777" w:rsidR="0009540D" w:rsidRDefault="0009540D" w:rsidP="0009540D">
      <w:pPr>
        <w:pStyle w:val="Heading1"/>
        <w:ind w:left="345" w:hanging="360"/>
      </w:pPr>
      <w:bookmarkStart w:id="2" w:name="_Toc111025063"/>
      <w:r>
        <w:t>SCOPE OF POLICY</w:t>
      </w:r>
      <w:bookmarkEnd w:id="2"/>
      <w:r>
        <w:t xml:space="preserve"> </w:t>
      </w:r>
    </w:p>
    <w:p w14:paraId="5DCC312E" w14:textId="77777777" w:rsidR="0009540D" w:rsidRDefault="0009540D" w:rsidP="0009540D">
      <w:pPr>
        <w:spacing w:after="12" w:line="259" w:lineRule="auto"/>
        <w:ind w:left="360" w:firstLine="0"/>
        <w:jc w:val="left"/>
      </w:pPr>
      <w:r>
        <w:rPr>
          <w:b/>
        </w:rPr>
        <w:t xml:space="preserve"> </w:t>
      </w:r>
    </w:p>
    <w:p w14:paraId="7D878BC5" w14:textId="77777777" w:rsidR="0009540D" w:rsidRDefault="0009540D" w:rsidP="0009540D">
      <w:pPr>
        <w:ind w:left="847"/>
      </w:pPr>
      <w:r>
        <w:t>3.1.</w:t>
      </w:r>
      <w:r>
        <w:rPr>
          <w:rFonts w:ascii="Arial" w:eastAsia="Arial" w:hAnsi="Arial" w:cs="Arial"/>
        </w:rPr>
        <w:t xml:space="preserve"> </w:t>
      </w:r>
      <w:r>
        <w:t>The Policy applies to all registered students of the University, from initial registration through to completion of their programme of study, and applies to all University of Leicester staff who interact with students.</w:t>
      </w:r>
    </w:p>
    <w:p w14:paraId="540A1181" w14:textId="77777777" w:rsidR="0009540D" w:rsidRDefault="0009540D" w:rsidP="0009540D">
      <w:pPr>
        <w:ind w:left="847"/>
      </w:pPr>
    </w:p>
    <w:p w14:paraId="214E7554" w14:textId="77777777" w:rsidR="0009540D" w:rsidRDefault="0009540D" w:rsidP="0009540D">
      <w:pPr>
        <w:ind w:left="847"/>
      </w:pPr>
      <w:r>
        <w:t>3.2. The Policy also applies to staff and student conduct on and off the University’s premises, whether these are local, national or international and during all University-related activities. For students this includes periods of off-campus study and work experience. For all, this also includes University holidays, and closure days.</w:t>
      </w:r>
    </w:p>
    <w:p w14:paraId="59F7EDD5" w14:textId="77777777" w:rsidR="0009540D" w:rsidRDefault="0009540D" w:rsidP="0009540D">
      <w:pPr>
        <w:ind w:left="0" w:firstLine="0"/>
      </w:pPr>
    </w:p>
    <w:p w14:paraId="176BE7D0" w14:textId="77777777" w:rsidR="0009540D" w:rsidRDefault="0009540D" w:rsidP="0009540D">
      <w:pPr>
        <w:ind w:left="847"/>
      </w:pPr>
      <w:r>
        <w:t xml:space="preserve">3.3. All staff have a duty of care to support student sex workers who are being targeted or harassed in the University for their status as sex workers. For members of staff with specific student support responsibilities, a holistic approach to options and support for the student will be provided. </w:t>
      </w:r>
    </w:p>
    <w:p w14:paraId="21A8CB77" w14:textId="77777777" w:rsidR="0009540D" w:rsidRDefault="0009540D" w:rsidP="0009540D">
      <w:pPr>
        <w:spacing w:after="44" w:line="259" w:lineRule="auto"/>
        <w:ind w:left="852" w:firstLine="0"/>
        <w:jc w:val="left"/>
      </w:pPr>
    </w:p>
    <w:p w14:paraId="639250D8" w14:textId="77777777" w:rsidR="0009540D" w:rsidRDefault="0009540D" w:rsidP="0009540D">
      <w:pPr>
        <w:ind w:left="847"/>
      </w:pPr>
      <w:r>
        <w:t>3.4. The University has no control over external professional bodies but this policy states the commitment of the University to its students. Staff have a duty to support students undergoing disciplinary action by a professional body based solely or in part by their status as a sex worker.</w:t>
      </w:r>
    </w:p>
    <w:p w14:paraId="7F346CA5" w14:textId="77777777" w:rsidR="0009540D" w:rsidRDefault="0009540D" w:rsidP="0009540D">
      <w:pPr>
        <w:spacing w:after="11" w:line="259" w:lineRule="auto"/>
        <w:ind w:left="1001" w:firstLine="0"/>
        <w:jc w:val="left"/>
      </w:pPr>
      <w:r>
        <w:t xml:space="preserve"> </w:t>
      </w:r>
    </w:p>
    <w:p w14:paraId="1938F1A7" w14:textId="77777777" w:rsidR="0009540D" w:rsidRDefault="0009540D" w:rsidP="0009540D">
      <w:pPr>
        <w:pStyle w:val="Heading1"/>
        <w:ind w:left="345" w:hanging="360"/>
      </w:pPr>
      <w:bookmarkStart w:id="3" w:name="_Toc111025064"/>
      <w:r>
        <w:t>DEFINITIONS AND BEHAVIOURS</w:t>
      </w:r>
      <w:bookmarkEnd w:id="3"/>
      <w:r>
        <w:t xml:space="preserve"> </w:t>
      </w:r>
    </w:p>
    <w:p w14:paraId="389B42F3" w14:textId="77777777" w:rsidR="0009540D" w:rsidRDefault="0009540D" w:rsidP="0009540D">
      <w:pPr>
        <w:spacing w:after="12" w:line="259" w:lineRule="auto"/>
        <w:ind w:left="360" w:firstLine="0"/>
        <w:jc w:val="left"/>
      </w:pPr>
      <w:r>
        <w:t xml:space="preserve"> </w:t>
      </w:r>
    </w:p>
    <w:p w14:paraId="37642F5B" w14:textId="77777777" w:rsidR="0009540D" w:rsidRDefault="0009540D" w:rsidP="0009540D">
      <w:pPr>
        <w:pStyle w:val="CommentText"/>
        <w:rPr>
          <w:sz w:val="22"/>
          <w:szCs w:val="22"/>
        </w:rPr>
      </w:pPr>
      <w:r w:rsidRPr="00DD2A16">
        <w:rPr>
          <w:rFonts w:asciiTheme="minorHAnsi" w:hAnsiTheme="minorHAnsi" w:cstheme="minorHAnsi"/>
          <w:sz w:val="22"/>
        </w:rPr>
        <w:t>4.1.</w:t>
      </w:r>
      <w:r w:rsidRPr="00DD2A16">
        <w:rPr>
          <w:rFonts w:asciiTheme="minorHAnsi" w:eastAsia="Arial" w:hAnsiTheme="minorHAnsi" w:cstheme="minorHAnsi"/>
          <w:sz w:val="22"/>
        </w:rPr>
        <w:t xml:space="preserve"> </w:t>
      </w:r>
      <w:r>
        <w:rPr>
          <w:rFonts w:asciiTheme="minorHAnsi" w:eastAsia="Arial" w:hAnsiTheme="minorHAnsi" w:cstheme="minorHAnsi"/>
          <w:sz w:val="22"/>
        </w:rPr>
        <w:t>‘Sex</w:t>
      </w:r>
      <w:r w:rsidRPr="00DD2A16">
        <w:rPr>
          <w:rFonts w:asciiTheme="minorHAnsi" w:eastAsia="Arial" w:hAnsiTheme="minorHAnsi" w:cstheme="minorHAnsi"/>
          <w:sz w:val="22"/>
          <w:szCs w:val="22"/>
        </w:rPr>
        <w:t xml:space="preserve"> work</w:t>
      </w:r>
      <w:r>
        <w:rPr>
          <w:rFonts w:asciiTheme="minorHAnsi" w:eastAsia="Arial" w:hAnsiTheme="minorHAnsi" w:cstheme="minorHAnsi"/>
          <w:sz w:val="22"/>
          <w:szCs w:val="22"/>
        </w:rPr>
        <w:t>’</w:t>
      </w:r>
      <w:r w:rsidRPr="00DD2A16">
        <w:rPr>
          <w:rFonts w:asciiTheme="minorHAnsi" w:eastAsia="Arial" w:hAnsiTheme="minorHAnsi" w:cstheme="minorHAnsi"/>
          <w:sz w:val="22"/>
          <w:szCs w:val="22"/>
        </w:rPr>
        <w:t xml:space="preserve"> refers to providing sexual services directly or indirectly in exchange for money or other consumables and may include escorting, webcamming, stripping, adult entertainment, phone sex or other markets. </w:t>
      </w:r>
      <w:r w:rsidRPr="00DD2A16">
        <w:rPr>
          <w:sz w:val="22"/>
          <w:szCs w:val="22"/>
        </w:rPr>
        <w:t>It is legal to sell and buy sex between two consenting adults in the UK.</w:t>
      </w:r>
      <w:r>
        <w:rPr>
          <w:sz w:val="22"/>
          <w:szCs w:val="22"/>
        </w:rPr>
        <w:t xml:space="preserve"> </w:t>
      </w:r>
      <w:r>
        <w:rPr>
          <w:rFonts w:asciiTheme="minorHAnsi" w:hAnsiTheme="minorHAnsi" w:cstheme="minorHAnsi"/>
          <w:color w:val="auto"/>
          <w:sz w:val="22"/>
          <w:szCs w:val="22"/>
        </w:rPr>
        <w:t>If the sexual act is not consensual, it is not only illegal, but would also not be classed as sex work. Non-consensual sexual interactions are sexual violence – one example being sex exploitation.</w:t>
      </w:r>
      <w:r w:rsidRPr="00DD2A16">
        <w:rPr>
          <w:sz w:val="22"/>
          <w:szCs w:val="22"/>
        </w:rPr>
        <w:t xml:space="preserve"> There are laws which make it illegal to solicit and loiter on the street, own a brothel (i.e.</w:t>
      </w:r>
      <w:r>
        <w:rPr>
          <w:sz w:val="22"/>
          <w:szCs w:val="22"/>
        </w:rPr>
        <w:t xml:space="preserve"> t</w:t>
      </w:r>
      <w:r w:rsidRPr="00DD2A16">
        <w:rPr>
          <w:sz w:val="22"/>
          <w:szCs w:val="22"/>
        </w:rPr>
        <w:t>wo or more people working together) and assisting in the organisation of brothels.</w:t>
      </w:r>
    </w:p>
    <w:p w14:paraId="1979900D" w14:textId="77777777" w:rsidR="0009540D" w:rsidRDefault="0009540D" w:rsidP="0009540D">
      <w:pPr>
        <w:pStyle w:val="CommentText"/>
        <w:rPr>
          <w:sz w:val="22"/>
          <w:szCs w:val="22"/>
        </w:rPr>
      </w:pPr>
    </w:p>
    <w:p w14:paraId="6797FBF7" w14:textId="77777777" w:rsidR="0009540D" w:rsidRPr="007350BB" w:rsidRDefault="0009540D" w:rsidP="0009540D">
      <w:pPr>
        <w:pStyle w:val="CommentText"/>
        <w:rPr>
          <w:color w:val="000000" w:themeColor="text1"/>
          <w:sz w:val="22"/>
          <w:szCs w:val="22"/>
        </w:rPr>
      </w:pPr>
      <w:r>
        <w:rPr>
          <w:sz w:val="22"/>
          <w:szCs w:val="22"/>
        </w:rPr>
        <w:t xml:space="preserve">4.2. </w:t>
      </w:r>
      <w:r w:rsidRPr="00D17FAD">
        <w:rPr>
          <w:sz w:val="22"/>
          <w:szCs w:val="22"/>
        </w:rPr>
        <w:t xml:space="preserve">Sex workers are often a victim of hate crime. </w:t>
      </w:r>
      <w:r>
        <w:rPr>
          <w:sz w:val="22"/>
          <w:szCs w:val="22"/>
        </w:rPr>
        <w:t xml:space="preserve">It </w:t>
      </w:r>
      <w:r w:rsidRPr="00D17FAD">
        <w:rPr>
          <w:sz w:val="22"/>
          <w:szCs w:val="22"/>
        </w:rPr>
        <w:t xml:space="preserve">is documented in the literature that </w:t>
      </w:r>
      <w:r>
        <w:rPr>
          <w:sz w:val="22"/>
          <w:szCs w:val="22"/>
        </w:rPr>
        <w:t xml:space="preserve">a range of perpetrators may target </w:t>
      </w:r>
      <w:r w:rsidRPr="00D17FAD">
        <w:rPr>
          <w:sz w:val="22"/>
          <w:szCs w:val="22"/>
        </w:rPr>
        <w:t xml:space="preserve">sex workers as they believe sex workers will not report </w:t>
      </w:r>
      <w:r w:rsidRPr="00D17FAD">
        <w:rPr>
          <w:color w:val="000000" w:themeColor="text1"/>
          <w:sz w:val="22"/>
          <w:szCs w:val="22"/>
        </w:rPr>
        <w:t>to th</w:t>
      </w:r>
      <w:r>
        <w:rPr>
          <w:color w:val="000000" w:themeColor="text1"/>
          <w:sz w:val="22"/>
          <w:szCs w:val="22"/>
        </w:rPr>
        <w:t>e police. As such,</w:t>
      </w:r>
      <w:r w:rsidRPr="00D17FAD">
        <w:rPr>
          <w:color w:val="000000" w:themeColor="text1"/>
          <w:sz w:val="22"/>
          <w:szCs w:val="22"/>
        </w:rPr>
        <w:t xml:space="preserve"> sex workers as a specific group are more at risk of vulnerability because of their stigmatised status. As a result of fearing being judged and treated differently and unfairly, sex workers are often least likely to report crimes or express any need for support.</w:t>
      </w:r>
      <w:r w:rsidRPr="007350BB">
        <w:rPr>
          <w:color w:val="000000" w:themeColor="text1"/>
          <w:sz w:val="22"/>
          <w:szCs w:val="22"/>
        </w:rPr>
        <w:t xml:space="preserve"> </w:t>
      </w:r>
    </w:p>
    <w:p w14:paraId="4CAA2A3E" w14:textId="77777777" w:rsidR="0009540D" w:rsidRPr="007350BB" w:rsidRDefault="0009540D" w:rsidP="0009540D">
      <w:pPr>
        <w:pStyle w:val="CommentText"/>
        <w:rPr>
          <w:color w:val="000000" w:themeColor="text1"/>
          <w:sz w:val="22"/>
          <w:szCs w:val="22"/>
        </w:rPr>
      </w:pPr>
    </w:p>
    <w:p w14:paraId="37235B80" w14:textId="77777777" w:rsidR="0009540D" w:rsidRPr="007350BB" w:rsidRDefault="0009540D" w:rsidP="0009540D">
      <w:pPr>
        <w:pStyle w:val="CommentText"/>
        <w:rPr>
          <w:color w:val="000000" w:themeColor="text1"/>
          <w:sz w:val="22"/>
          <w:szCs w:val="22"/>
        </w:rPr>
      </w:pPr>
      <w:r w:rsidRPr="007350BB">
        <w:rPr>
          <w:color w:val="000000" w:themeColor="text1"/>
          <w:sz w:val="22"/>
          <w:szCs w:val="22"/>
        </w:rPr>
        <w:t xml:space="preserve">4.3. </w:t>
      </w:r>
      <w:r>
        <w:rPr>
          <w:color w:val="000000" w:themeColor="text1"/>
          <w:sz w:val="22"/>
          <w:szCs w:val="22"/>
        </w:rPr>
        <w:t>‘</w:t>
      </w:r>
      <w:r w:rsidRPr="007350BB">
        <w:rPr>
          <w:color w:val="000000" w:themeColor="text1"/>
          <w:sz w:val="22"/>
          <w:szCs w:val="22"/>
        </w:rPr>
        <w:t>Outing</w:t>
      </w:r>
      <w:r>
        <w:rPr>
          <w:color w:val="000000" w:themeColor="text1"/>
          <w:sz w:val="22"/>
          <w:szCs w:val="22"/>
        </w:rPr>
        <w:t>’</w:t>
      </w:r>
      <w:r w:rsidRPr="007350BB">
        <w:rPr>
          <w:color w:val="000000" w:themeColor="text1"/>
          <w:sz w:val="22"/>
          <w:szCs w:val="22"/>
        </w:rPr>
        <w:t xml:space="preserve"> is disclosing personal information about someone without their consent. Sex worker</w:t>
      </w:r>
      <w:r>
        <w:rPr>
          <w:color w:val="000000" w:themeColor="text1"/>
          <w:sz w:val="22"/>
          <w:szCs w:val="22"/>
        </w:rPr>
        <w:t>s</w:t>
      </w:r>
      <w:r w:rsidRPr="007350BB">
        <w:rPr>
          <w:color w:val="000000" w:themeColor="text1"/>
          <w:sz w:val="22"/>
          <w:szCs w:val="22"/>
        </w:rPr>
        <w:t xml:space="preserve"> fear being outed exte</w:t>
      </w:r>
      <w:r>
        <w:rPr>
          <w:color w:val="000000" w:themeColor="text1"/>
          <w:sz w:val="22"/>
          <w:szCs w:val="22"/>
        </w:rPr>
        <w:t xml:space="preserve">nsively as the repercussion may be substantial </w:t>
      </w:r>
      <w:r w:rsidRPr="007350BB">
        <w:rPr>
          <w:color w:val="000000" w:themeColor="text1"/>
          <w:sz w:val="22"/>
          <w:szCs w:val="22"/>
        </w:rPr>
        <w:t>for both themselves</w:t>
      </w:r>
      <w:r>
        <w:rPr>
          <w:color w:val="000000" w:themeColor="text1"/>
          <w:sz w:val="22"/>
          <w:szCs w:val="22"/>
        </w:rPr>
        <w:t>,</w:t>
      </w:r>
      <w:r w:rsidRPr="007350BB">
        <w:rPr>
          <w:color w:val="000000" w:themeColor="text1"/>
          <w:sz w:val="22"/>
          <w:szCs w:val="22"/>
        </w:rPr>
        <w:t xml:space="preserve"> their families and loved ones.</w:t>
      </w:r>
    </w:p>
    <w:p w14:paraId="627A0235" w14:textId="77777777" w:rsidR="0009540D" w:rsidRPr="007350BB" w:rsidRDefault="0009540D" w:rsidP="0009540D">
      <w:pPr>
        <w:pStyle w:val="CommentText"/>
        <w:rPr>
          <w:color w:val="000000" w:themeColor="text1"/>
          <w:sz w:val="22"/>
          <w:szCs w:val="22"/>
        </w:rPr>
      </w:pPr>
    </w:p>
    <w:p w14:paraId="7DB39ABE" w14:textId="77777777" w:rsidR="0009540D" w:rsidRPr="007350BB" w:rsidRDefault="0009540D" w:rsidP="0009540D">
      <w:pPr>
        <w:spacing w:after="158" w:line="259" w:lineRule="auto"/>
        <w:rPr>
          <w:color w:val="000000" w:themeColor="text1"/>
        </w:rPr>
      </w:pPr>
      <w:r w:rsidRPr="007350BB">
        <w:rPr>
          <w:color w:val="000000" w:themeColor="text1"/>
        </w:rPr>
        <w:t xml:space="preserve">4.4. </w:t>
      </w:r>
      <w:r>
        <w:rPr>
          <w:color w:val="000000" w:themeColor="text1"/>
        </w:rPr>
        <w:t>‘</w:t>
      </w:r>
      <w:r w:rsidRPr="007350BB">
        <w:rPr>
          <w:color w:val="000000" w:themeColor="text1"/>
        </w:rPr>
        <w:t xml:space="preserve">Hate </w:t>
      </w:r>
      <w:r>
        <w:rPr>
          <w:color w:val="000000" w:themeColor="text1"/>
        </w:rPr>
        <w:t>crime’ refers to</w:t>
      </w:r>
      <w:r w:rsidRPr="007350BB">
        <w:rPr>
          <w:color w:val="000000" w:themeColor="text1"/>
        </w:rPr>
        <w:t xml:space="preserve"> when a perpetrator (or group) specifically targets an individual because of their characteristics and ‘perceived vulnerability’, believing they will not report the crime because of their identity. </w:t>
      </w:r>
    </w:p>
    <w:p w14:paraId="6E447603" w14:textId="77777777" w:rsidR="0009540D" w:rsidRDefault="0009540D">
      <w:pPr>
        <w:spacing w:after="160" w:line="259" w:lineRule="auto"/>
        <w:ind w:left="0" w:firstLine="0"/>
        <w:jc w:val="left"/>
      </w:pPr>
      <w:r>
        <w:br w:type="page"/>
      </w:r>
    </w:p>
    <w:p w14:paraId="53704F31" w14:textId="77777777" w:rsidR="0009540D" w:rsidRDefault="0009540D" w:rsidP="0009540D">
      <w:pPr>
        <w:pStyle w:val="Heading1"/>
        <w:spacing w:before="0" w:line="259" w:lineRule="auto"/>
        <w:ind w:left="345" w:hanging="360"/>
        <w:jc w:val="left"/>
      </w:pPr>
      <w:bookmarkStart w:id="4" w:name="_Toc111025065"/>
      <w:r>
        <w:lastRenderedPageBreak/>
        <w:t>ROLES AND RESPONSIBILITIES</w:t>
      </w:r>
      <w:bookmarkEnd w:id="4"/>
      <w:r>
        <w:t xml:space="preserve"> </w:t>
      </w:r>
    </w:p>
    <w:p w14:paraId="169AFF9E" w14:textId="77777777" w:rsidR="0009540D" w:rsidRDefault="0009540D" w:rsidP="0009540D">
      <w:pPr>
        <w:spacing w:after="12" w:line="259" w:lineRule="auto"/>
        <w:ind w:left="360" w:firstLine="0"/>
        <w:jc w:val="left"/>
      </w:pPr>
      <w:r>
        <w:rPr>
          <w:b/>
        </w:rPr>
        <w:t xml:space="preserve"> </w:t>
      </w:r>
    </w:p>
    <w:p w14:paraId="534D0AB1" w14:textId="77777777" w:rsidR="0009540D" w:rsidRDefault="0009540D" w:rsidP="0009540D">
      <w:pPr>
        <w:ind w:left="847"/>
      </w:pPr>
      <w:r>
        <w:t>5.1.</w:t>
      </w:r>
      <w:r>
        <w:rPr>
          <w:rFonts w:ascii="Arial" w:eastAsia="Arial" w:hAnsi="Arial" w:cs="Arial"/>
        </w:rPr>
        <w:t xml:space="preserve"> </w:t>
      </w:r>
      <w:r>
        <w:t xml:space="preserve">We all have a contribution to make in building and maintaining a culture of dignity and respect at the University.    </w:t>
      </w:r>
    </w:p>
    <w:p w14:paraId="4DA00E47" w14:textId="77777777" w:rsidR="0009540D" w:rsidRDefault="0009540D" w:rsidP="0009540D">
      <w:pPr>
        <w:spacing w:after="12" w:line="259" w:lineRule="auto"/>
        <w:ind w:left="1560" w:firstLine="0"/>
        <w:jc w:val="left"/>
      </w:pPr>
    </w:p>
    <w:p w14:paraId="10509BCD" w14:textId="77777777" w:rsidR="0009540D" w:rsidRDefault="0009540D" w:rsidP="0009540D">
      <w:pPr>
        <w:spacing w:after="34"/>
        <w:ind w:left="412" w:firstLine="0"/>
      </w:pPr>
      <w:r>
        <w:t>5.2.</w:t>
      </w:r>
      <w:r>
        <w:rPr>
          <w:rFonts w:ascii="Arial" w:eastAsia="Arial" w:hAnsi="Arial" w:cs="Arial"/>
        </w:rPr>
        <w:t xml:space="preserve"> </w:t>
      </w:r>
      <w:r>
        <w:t xml:space="preserve">All members of staff are responsible for: </w:t>
      </w:r>
    </w:p>
    <w:p w14:paraId="7F75D16C" w14:textId="77777777" w:rsidR="0009540D" w:rsidRDefault="0009540D" w:rsidP="0009540D">
      <w:pPr>
        <w:numPr>
          <w:ilvl w:val="0"/>
          <w:numId w:val="2"/>
        </w:numPr>
        <w:spacing w:line="240" w:lineRule="auto"/>
        <w:ind w:hanging="283"/>
      </w:pPr>
      <w:r>
        <w:t xml:space="preserve">Providing a safe, non-judgmental response and environment to any student who discloses their status as a sex worker if necessary and if they choose to do so. </w:t>
      </w:r>
    </w:p>
    <w:p w14:paraId="65F02726" w14:textId="77777777" w:rsidR="0009540D" w:rsidRDefault="0009540D" w:rsidP="0009540D">
      <w:pPr>
        <w:numPr>
          <w:ilvl w:val="0"/>
          <w:numId w:val="2"/>
        </w:numPr>
        <w:spacing w:after="38" w:line="240" w:lineRule="auto"/>
        <w:ind w:hanging="283"/>
      </w:pPr>
      <w:r>
        <w:t xml:space="preserve">Considering the specific implications of the disclosure in relation to the students personally (for example, with reference to professional regulations), and sensitively seeking guidance to support these students. </w:t>
      </w:r>
    </w:p>
    <w:p w14:paraId="491AD404" w14:textId="77777777" w:rsidR="0009540D" w:rsidRPr="002B1346" w:rsidRDefault="0009540D" w:rsidP="0009540D">
      <w:pPr>
        <w:numPr>
          <w:ilvl w:val="0"/>
          <w:numId w:val="2"/>
        </w:numPr>
        <w:spacing w:after="38" w:line="240" w:lineRule="auto"/>
        <w:ind w:hanging="283"/>
      </w:pPr>
      <w:r w:rsidRPr="002B1346">
        <w:t>Contacting the Standing Together Team if a disclosure around student sex work arises.</w:t>
      </w:r>
      <w:r>
        <w:t xml:space="preserve"> Staff may also be responsible for contacting their relevant Safeguarding Lead, or reporting to local and/ or external regulatory bodies, in cases with safeguarding considerations.</w:t>
      </w:r>
    </w:p>
    <w:p w14:paraId="254476EB" w14:textId="77777777" w:rsidR="0009540D" w:rsidRPr="00E77049" w:rsidRDefault="0009540D" w:rsidP="0009540D">
      <w:pPr>
        <w:pStyle w:val="ListParagraph"/>
        <w:numPr>
          <w:ilvl w:val="0"/>
          <w:numId w:val="2"/>
        </w:numPr>
        <w:spacing w:after="0" w:line="240" w:lineRule="auto"/>
        <w:jc w:val="left"/>
        <w:rPr>
          <w:rFonts w:eastAsia="Times New Roman"/>
          <w:color w:val="auto"/>
        </w:rPr>
      </w:pPr>
      <w:r w:rsidRPr="00E77049">
        <w:rPr>
          <w:rFonts w:eastAsia="Times New Roman"/>
        </w:rPr>
        <w:t>Ensuring that students who decide to leave the sex industry are supported with appropriate information and that any onward referrals are confidential and student led.</w:t>
      </w:r>
    </w:p>
    <w:p w14:paraId="4E92EA90" w14:textId="77777777" w:rsidR="0009540D" w:rsidRPr="002B1346" w:rsidRDefault="0009540D" w:rsidP="0009540D">
      <w:pPr>
        <w:numPr>
          <w:ilvl w:val="0"/>
          <w:numId w:val="2"/>
        </w:numPr>
        <w:spacing w:after="38" w:line="240" w:lineRule="auto"/>
        <w:ind w:hanging="283"/>
        <w:rPr>
          <w:color w:val="000000" w:themeColor="text1"/>
        </w:rPr>
      </w:pPr>
      <w:r w:rsidRPr="002B1346">
        <w:rPr>
          <w:color w:val="000000" w:themeColor="text1"/>
        </w:rPr>
        <w:t xml:space="preserve"> Contributing towards an environment in which incidents of unacceptable interpersonal behaviours towards student sex workers are not tolerated or unchallenged, and working within their role to tackle these behaviours.</w:t>
      </w:r>
    </w:p>
    <w:p w14:paraId="753D844E" w14:textId="77777777" w:rsidR="0009540D" w:rsidRDefault="0009540D" w:rsidP="0009540D">
      <w:pPr>
        <w:numPr>
          <w:ilvl w:val="0"/>
          <w:numId w:val="2"/>
        </w:numPr>
        <w:spacing w:after="38" w:line="240" w:lineRule="auto"/>
        <w:ind w:hanging="283"/>
      </w:pPr>
      <w:r w:rsidRPr="002B1346">
        <w:rPr>
          <w:color w:val="000000" w:themeColor="text1"/>
        </w:rPr>
        <w:t xml:space="preserve">Ensuring that students and staff are aware of the Policy and </w:t>
      </w:r>
      <w:r>
        <w:t xml:space="preserve">are signposted where necessary to help and advice available. </w:t>
      </w:r>
    </w:p>
    <w:p w14:paraId="5409970D" w14:textId="77777777" w:rsidR="0009540D" w:rsidRDefault="0009540D" w:rsidP="0009540D">
      <w:pPr>
        <w:numPr>
          <w:ilvl w:val="0"/>
          <w:numId w:val="2"/>
        </w:numPr>
        <w:spacing w:line="240" w:lineRule="auto"/>
        <w:ind w:hanging="283"/>
      </w:pPr>
      <w:r>
        <w:t xml:space="preserve">Taking timely and constructive action, in line with the Policy and relevant procedure, that is appropriate to the situation.  </w:t>
      </w:r>
    </w:p>
    <w:p w14:paraId="0EF4AB29" w14:textId="77777777" w:rsidR="0009540D" w:rsidRDefault="0009540D" w:rsidP="0009540D">
      <w:pPr>
        <w:spacing w:after="30" w:line="259" w:lineRule="auto"/>
        <w:jc w:val="left"/>
      </w:pPr>
    </w:p>
    <w:p w14:paraId="5B570AC6" w14:textId="77777777" w:rsidR="0009540D" w:rsidRDefault="0009540D" w:rsidP="0009540D">
      <w:pPr>
        <w:pStyle w:val="Heading1"/>
        <w:spacing w:before="0" w:line="259" w:lineRule="auto"/>
        <w:ind w:left="345" w:hanging="360"/>
        <w:jc w:val="left"/>
      </w:pPr>
      <w:bookmarkStart w:id="5" w:name="_Toc111025066"/>
      <w:r>
        <w:t>LINKED POLICIES, PROCEDURES, GUIDELINES AND LEGAL FRAMEWORK</w:t>
      </w:r>
      <w:bookmarkEnd w:id="5"/>
      <w:r>
        <w:t xml:space="preserve"> </w:t>
      </w:r>
    </w:p>
    <w:p w14:paraId="354547B0" w14:textId="77777777" w:rsidR="0009540D" w:rsidRDefault="0009540D" w:rsidP="0009540D">
      <w:pPr>
        <w:spacing w:after="12" w:line="259" w:lineRule="auto"/>
        <w:ind w:left="360" w:firstLine="0"/>
        <w:jc w:val="left"/>
      </w:pPr>
      <w:r>
        <w:rPr>
          <w:b/>
        </w:rPr>
        <w:t xml:space="preserve"> </w:t>
      </w:r>
    </w:p>
    <w:p w14:paraId="3DDC0B25" w14:textId="77777777" w:rsidR="0009540D" w:rsidRDefault="0009540D" w:rsidP="0009540D">
      <w:pPr>
        <w:ind w:left="847"/>
      </w:pPr>
      <w:r>
        <w:t>6.1.</w:t>
      </w:r>
      <w:r>
        <w:rPr>
          <w:rFonts w:ascii="Arial" w:eastAsia="Arial" w:hAnsi="Arial" w:cs="Arial"/>
        </w:rPr>
        <w:t xml:space="preserve"> </w:t>
      </w:r>
      <w:r>
        <w:t xml:space="preserve">The policy should be read in conjunction with other University of Leicester policies, procedures and guidelines, including </w:t>
      </w:r>
      <w:r w:rsidRPr="002D16CA">
        <w:t xml:space="preserve">the </w:t>
      </w:r>
      <w:hyperlink r:id="rId12" w:history="1">
        <w:r w:rsidRPr="002D16CA">
          <w:rPr>
            <w:rStyle w:val="Hyperlink"/>
          </w:rPr>
          <w:t>Regulations on Student Conduct and Discipline</w:t>
        </w:r>
      </w:hyperlink>
      <w:r w:rsidRPr="002D16CA">
        <w:t>. The purpose of these is to ensure that all students, including student sex workers, are s</w:t>
      </w:r>
      <w:r>
        <w:t>upported to experience a University community that is free from unacceptable behaviour and characterised by respect and dignity and that where unacceptable behaviour occurs, it is managed, investigated and sanctioned as appropriate.</w:t>
      </w:r>
    </w:p>
    <w:p w14:paraId="3DA46CF9" w14:textId="77777777" w:rsidR="0009540D" w:rsidRDefault="0009540D" w:rsidP="0009540D">
      <w:pPr>
        <w:ind w:left="847"/>
      </w:pPr>
      <w:r>
        <w:t xml:space="preserve">6.2 The linked documents are </w:t>
      </w:r>
      <w:r w:rsidRPr="00F45CEF">
        <w:t xml:space="preserve">available </w:t>
      </w:r>
      <w:hyperlink r:id="rId13" w:history="1">
        <w:r w:rsidRPr="00F45CEF">
          <w:rPr>
            <w:rStyle w:val="Hyperlink"/>
          </w:rPr>
          <w:t>here</w:t>
        </w:r>
      </w:hyperlink>
      <w:r w:rsidRPr="00F45CEF">
        <w:t>,</w:t>
      </w:r>
      <w:r>
        <w:t xml:space="preserve"> if you have any queries please contact </w:t>
      </w:r>
      <w:hyperlink r:id="rId14" w:history="1">
        <w:r w:rsidRPr="00F46B20">
          <w:rPr>
            <w:rStyle w:val="Hyperlink"/>
          </w:rPr>
          <w:t>equalities@le.ac.uk</w:t>
        </w:r>
      </w:hyperlink>
      <w:r>
        <w:t xml:space="preserve">. </w:t>
      </w:r>
    </w:p>
    <w:p w14:paraId="67F560D3" w14:textId="77777777" w:rsidR="0009540D" w:rsidRDefault="0009540D" w:rsidP="0009540D">
      <w:pPr>
        <w:ind w:left="847"/>
      </w:pPr>
      <w:r>
        <w:t xml:space="preserve"> </w:t>
      </w:r>
    </w:p>
    <w:p w14:paraId="4B906CB9" w14:textId="77777777" w:rsidR="0009540D" w:rsidRDefault="0009540D" w:rsidP="0009540D">
      <w:pPr>
        <w:pStyle w:val="Heading1"/>
        <w:spacing w:before="0" w:line="259" w:lineRule="auto"/>
        <w:ind w:left="345" w:hanging="360"/>
        <w:jc w:val="left"/>
      </w:pPr>
      <w:bookmarkStart w:id="6" w:name="_Toc111025067"/>
      <w:r>
        <w:t>EQUALITY ANALYSIS</w:t>
      </w:r>
      <w:bookmarkEnd w:id="6"/>
      <w:r>
        <w:t xml:space="preserve"> </w:t>
      </w:r>
    </w:p>
    <w:p w14:paraId="7EA7C886" w14:textId="77777777" w:rsidR="0009540D" w:rsidRDefault="0009540D" w:rsidP="0009540D">
      <w:pPr>
        <w:spacing w:after="0" w:line="259" w:lineRule="auto"/>
        <w:ind w:left="360" w:firstLine="0"/>
        <w:jc w:val="left"/>
      </w:pPr>
      <w:r>
        <w:t xml:space="preserve"> </w:t>
      </w:r>
    </w:p>
    <w:p w14:paraId="05C4BC49" w14:textId="77777777" w:rsidR="0009540D" w:rsidRDefault="0009540D" w:rsidP="0009540D">
      <w:pPr>
        <w:ind w:left="528" w:firstLine="0"/>
      </w:pPr>
      <w:r>
        <w:t xml:space="preserve">This policy has been subject to equality analysis and will be monitored and reviewed on a regular basis. </w:t>
      </w:r>
    </w:p>
    <w:p w14:paraId="6777FCE1" w14:textId="77777777" w:rsidR="0009540D" w:rsidRDefault="0009540D" w:rsidP="0009540D">
      <w:pPr>
        <w:spacing w:after="158" w:line="259" w:lineRule="auto"/>
        <w:ind w:left="0" w:firstLine="0"/>
        <w:jc w:val="left"/>
        <w:rPr>
          <w:color w:val="000000" w:themeColor="text1"/>
        </w:rPr>
      </w:pPr>
      <w:r w:rsidRPr="00F87D39">
        <w:rPr>
          <w:color w:val="000000" w:themeColor="text1"/>
        </w:rPr>
        <w:t xml:space="preserve"> </w:t>
      </w:r>
    </w:p>
    <w:p w14:paraId="012D4512" w14:textId="77777777" w:rsidR="0009540D" w:rsidRDefault="0009540D">
      <w:pPr>
        <w:spacing w:after="160" w:line="259" w:lineRule="auto"/>
        <w:ind w:left="0" w:firstLine="0"/>
        <w:jc w:val="left"/>
      </w:pPr>
      <w:r>
        <w:br w:type="page"/>
      </w:r>
    </w:p>
    <w:p w14:paraId="40BF6448" w14:textId="77777777" w:rsidR="0009540D" w:rsidRDefault="0009540D" w:rsidP="0009540D">
      <w:pPr>
        <w:spacing w:line="360" w:lineRule="auto"/>
        <w:ind w:hanging="679"/>
        <w:rPr>
          <w:b/>
        </w:rPr>
      </w:pPr>
    </w:p>
    <w:p w14:paraId="09770676" w14:textId="77777777" w:rsidR="0009540D" w:rsidRDefault="0009540D" w:rsidP="0009540D">
      <w:pPr>
        <w:spacing w:line="360" w:lineRule="auto"/>
        <w:ind w:hanging="679"/>
        <w:rPr>
          <w:b/>
        </w:rPr>
      </w:pPr>
    </w:p>
    <w:p w14:paraId="363F95D0" w14:textId="77777777" w:rsidR="0009540D" w:rsidRDefault="0009540D" w:rsidP="0009540D">
      <w:pPr>
        <w:spacing w:line="360" w:lineRule="auto"/>
        <w:ind w:hanging="679"/>
        <w:rPr>
          <w:b/>
        </w:rPr>
      </w:pPr>
    </w:p>
    <w:p w14:paraId="40632833" w14:textId="77777777" w:rsidR="0009540D" w:rsidRPr="00957C55" w:rsidRDefault="0009540D" w:rsidP="0009540D">
      <w:pPr>
        <w:spacing w:line="360" w:lineRule="auto"/>
        <w:ind w:hanging="679"/>
        <w:rPr>
          <w:b/>
        </w:rPr>
      </w:pPr>
      <w:r w:rsidRPr="00957C55">
        <w:rPr>
          <w:b/>
        </w:rPr>
        <w:t>Version Control:</w:t>
      </w:r>
    </w:p>
    <w:tbl>
      <w:tblPr>
        <w:tblStyle w:val="TableGrid0"/>
        <w:tblW w:w="0" w:type="auto"/>
        <w:tblInd w:w="279" w:type="dxa"/>
        <w:tblLook w:val="06A0" w:firstRow="1" w:lastRow="0" w:firstColumn="1" w:lastColumn="0" w:noHBand="1" w:noVBand="1"/>
        <w:tblCaption w:val="Table of record of policy versions"/>
      </w:tblPr>
      <w:tblGrid>
        <w:gridCol w:w="1929"/>
        <w:gridCol w:w="3316"/>
        <w:gridCol w:w="1559"/>
        <w:gridCol w:w="1291"/>
      </w:tblGrid>
      <w:tr w:rsidR="0009540D" w:rsidRPr="00957C55" w14:paraId="53F26C1D" w14:textId="77777777" w:rsidTr="003B42EA">
        <w:trPr>
          <w:tblHeader/>
        </w:trPr>
        <w:tc>
          <w:tcPr>
            <w:tcW w:w="1929" w:type="dxa"/>
            <w:shd w:val="clear" w:color="auto" w:fill="BFBFBF" w:themeFill="background1" w:themeFillShade="BF"/>
          </w:tcPr>
          <w:p w14:paraId="370A0BFD" w14:textId="77777777" w:rsidR="0009540D" w:rsidRPr="00957C55" w:rsidRDefault="0009540D" w:rsidP="003B42EA">
            <w:pPr>
              <w:ind w:hanging="941"/>
              <w:rPr>
                <w:b/>
              </w:rPr>
            </w:pPr>
            <w:r w:rsidRPr="00957C55">
              <w:rPr>
                <w:b/>
              </w:rPr>
              <w:t>Version Number</w:t>
            </w:r>
          </w:p>
        </w:tc>
        <w:tc>
          <w:tcPr>
            <w:tcW w:w="3316" w:type="dxa"/>
            <w:shd w:val="clear" w:color="auto" w:fill="BFBFBF" w:themeFill="background1" w:themeFillShade="BF"/>
          </w:tcPr>
          <w:p w14:paraId="177AAC20" w14:textId="77777777" w:rsidR="0009540D" w:rsidRPr="00957C55" w:rsidRDefault="0009540D" w:rsidP="003B42EA">
            <w:pPr>
              <w:ind w:hanging="875"/>
              <w:rPr>
                <w:b/>
              </w:rPr>
            </w:pPr>
            <w:r w:rsidRPr="00957C55">
              <w:rPr>
                <w:b/>
              </w:rPr>
              <w:t>Change Notes</w:t>
            </w:r>
          </w:p>
        </w:tc>
        <w:tc>
          <w:tcPr>
            <w:tcW w:w="1559" w:type="dxa"/>
            <w:shd w:val="clear" w:color="auto" w:fill="BFBFBF" w:themeFill="background1" w:themeFillShade="BF"/>
          </w:tcPr>
          <w:p w14:paraId="5829F87A" w14:textId="77777777" w:rsidR="0009540D" w:rsidRPr="00957C55" w:rsidRDefault="0009540D" w:rsidP="003B42EA">
            <w:pPr>
              <w:ind w:hanging="963"/>
              <w:rPr>
                <w:b/>
              </w:rPr>
            </w:pPr>
            <w:r w:rsidRPr="00957C55">
              <w:rPr>
                <w:b/>
              </w:rPr>
              <w:t>Made by</w:t>
            </w:r>
          </w:p>
        </w:tc>
        <w:tc>
          <w:tcPr>
            <w:tcW w:w="1291" w:type="dxa"/>
            <w:shd w:val="clear" w:color="auto" w:fill="BFBFBF" w:themeFill="background1" w:themeFillShade="BF"/>
          </w:tcPr>
          <w:p w14:paraId="5D2E4AA4" w14:textId="77777777" w:rsidR="0009540D" w:rsidRPr="00957C55" w:rsidRDefault="0009540D" w:rsidP="003B42EA">
            <w:pPr>
              <w:ind w:hanging="963"/>
              <w:rPr>
                <w:b/>
              </w:rPr>
            </w:pPr>
            <w:r w:rsidRPr="00957C55">
              <w:rPr>
                <w:b/>
              </w:rPr>
              <w:t>Date</w:t>
            </w:r>
          </w:p>
        </w:tc>
      </w:tr>
      <w:tr w:rsidR="0009540D" w14:paraId="7DBD0819" w14:textId="77777777" w:rsidTr="003B42EA">
        <w:tc>
          <w:tcPr>
            <w:tcW w:w="1929" w:type="dxa"/>
          </w:tcPr>
          <w:p w14:paraId="162A7C04" w14:textId="77777777" w:rsidR="0009540D" w:rsidRDefault="0009540D" w:rsidP="003B42EA">
            <w:pPr>
              <w:ind w:hanging="941"/>
            </w:pPr>
            <w:r>
              <w:t>V2.1</w:t>
            </w:r>
          </w:p>
        </w:tc>
        <w:tc>
          <w:tcPr>
            <w:tcW w:w="3316" w:type="dxa"/>
          </w:tcPr>
          <w:p w14:paraId="76E45302" w14:textId="77777777" w:rsidR="0009540D" w:rsidRDefault="0009540D" w:rsidP="003B42EA">
            <w:pPr>
              <w:ind w:hanging="963"/>
            </w:pPr>
            <w:r>
              <w:t>Addition of information to 5.2</w:t>
            </w:r>
          </w:p>
        </w:tc>
        <w:tc>
          <w:tcPr>
            <w:tcW w:w="1559" w:type="dxa"/>
          </w:tcPr>
          <w:p w14:paraId="30515E5A" w14:textId="77777777" w:rsidR="0009540D" w:rsidRDefault="0009540D" w:rsidP="003B42EA">
            <w:pPr>
              <w:ind w:hanging="929"/>
            </w:pPr>
            <w:r>
              <w:t>AP</w:t>
            </w:r>
          </w:p>
        </w:tc>
        <w:tc>
          <w:tcPr>
            <w:tcW w:w="1291" w:type="dxa"/>
          </w:tcPr>
          <w:p w14:paraId="3C9D6874" w14:textId="77777777" w:rsidR="0009540D" w:rsidRDefault="0009540D" w:rsidP="003B42EA">
            <w:pPr>
              <w:ind w:hanging="906"/>
            </w:pPr>
            <w:r>
              <w:t>25/07/22</w:t>
            </w:r>
          </w:p>
        </w:tc>
      </w:tr>
    </w:tbl>
    <w:p w14:paraId="57EC9EBE" w14:textId="77777777" w:rsidR="0009540D" w:rsidRPr="00A146B4" w:rsidRDefault="0009540D" w:rsidP="0009540D"/>
    <w:p w14:paraId="2B92BC03" w14:textId="77777777" w:rsidR="0009540D" w:rsidRDefault="0009540D" w:rsidP="009A5591"/>
    <w:sectPr w:rsidR="0009540D" w:rsidSect="0009540D">
      <w:headerReference w:type="default" r:id="rId15"/>
      <w:footerReference w:type="default" r:id="rId16"/>
      <w:pgSz w:w="11906" w:h="16838"/>
      <w:pgMar w:top="1440" w:right="1134"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529F" w14:textId="77777777" w:rsidR="00CA6A89" w:rsidRDefault="00CA6A89" w:rsidP="009A5591">
      <w:pPr>
        <w:spacing w:after="0" w:line="240" w:lineRule="auto"/>
      </w:pPr>
      <w:r>
        <w:separator/>
      </w:r>
    </w:p>
  </w:endnote>
  <w:endnote w:type="continuationSeparator" w:id="0">
    <w:p w14:paraId="1D98BAE4" w14:textId="77777777" w:rsidR="00CA6A89" w:rsidRDefault="00CA6A89" w:rsidP="009A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9A05" w14:textId="77777777" w:rsidR="009A5591" w:rsidRDefault="009A5591">
    <w:pPr>
      <w:pStyle w:val="Footer"/>
    </w:pPr>
    <w:r w:rsidRPr="00EE682A">
      <w:rPr>
        <w:color w:val="auto"/>
      </w:rPr>
      <w:t xml:space="preserve">Version Number:  2.1 </w:t>
    </w:r>
    <w:r w:rsidRPr="00EE682A">
      <w:rPr>
        <w:color w:val="auto"/>
      </w:rPr>
      <w:tab/>
      <w:t xml:space="preserve"> Page </w:t>
    </w:r>
    <w:r w:rsidRPr="00EE682A">
      <w:rPr>
        <w:color w:val="auto"/>
      </w:rPr>
      <w:fldChar w:fldCharType="begin"/>
    </w:r>
    <w:r w:rsidRPr="00EE682A">
      <w:rPr>
        <w:color w:val="auto"/>
      </w:rPr>
      <w:instrText xml:space="preserve"> PAGE   \* MERGEFORMAT </w:instrText>
    </w:r>
    <w:r w:rsidRPr="00EE682A">
      <w:rPr>
        <w:color w:val="auto"/>
      </w:rPr>
      <w:fldChar w:fldCharType="separate"/>
    </w:r>
    <w:r w:rsidR="0009540D" w:rsidRPr="00EE682A">
      <w:rPr>
        <w:noProof/>
        <w:color w:val="auto"/>
      </w:rPr>
      <w:t>6</w:t>
    </w:r>
    <w:r w:rsidRPr="00EE682A">
      <w:rPr>
        <w:color w:val="auto"/>
      </w:rPr>
      <w:fldChar w:fldCharType="end"/>
    </w:r>
    <w:r w:rsidRPr="00EE682A">
      <w:rPr>
        <w:color w:val="auto"/>
      </w:rPr>
      <w:t xml:space="preserve"> of </w:t>
    </w:r>
    <w:r w:rsidRPr="00EE682A">
      <w:rPr>
        <w:color w:val="auto"/>
      </w:rPr>
      <w:fldChar w:fldCharType="begin"/>
    </w:r>
    <w:r w:rsidRPr="00EE682A">
      <w:rPr>
        <w:color w:val="auto"/>
      </w:rPr>
      <w:instrText xml:space="preserve"> NUMPAGES   \* MERGEFORMAT </w:instrText>
    </w:r>
    <w:r w:rsidRPr="00EE682A">
      <w:rPr>
        <w:color w:val="auto"/>
      </w:rPr>
      <w:fldChar w:fldCharType="separate"/>
    </w:r>
    <w:r w:rsidR="0009540D" w:rsidRPr="00EE682A">
      <w:rPr>
        <w:noProof/>
        <w:color w:val="auto"/>
      </w:rPr>
      <w:t>6</w:t>
    </w:r>
    <w:r w:rsidRPr="00EE682A">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9952" w14:textId="77777777" w:rsidR="00CA6A89" w:rsidRDefault="00CA6A89" w:rsidP="009A5591">
      <w:pPr>
        <w:spacing w:after="0" w:line="240" w:lineRule="auto"/>
      </w:pPr>
      <w:r>
        <w:separator/>
      </w:r>
    </w:p>
  </w:footnote>
  <w:footnote w:type="continuationSeparator" w:id="0">
    <w:p w14:paraId="35B97D7D" w14:textId="77777777" w:rsidR="00CA6A89" w:rsidRDefault="00CA6A89" w:rsidP="009A5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1C4B" w14:textId="77777777" w:rsidR="009A5591" w:rsidRDefault="009A5591">
    <w:pPr>
      <w:pStyle w:val="Header"/>
    </w:pPr>
    <w:r>
      <w:rPr>
        <w:noProof/>
      </w:rPr>
      <w:drawing>
        <wp:inline distT="0" distB="0" distL="0" distR="0" wp14:anchorId="01F23BAD" wp14:editId="44E80F19">
          <wp:extent cx="2307600" cy="648000"/>
          <wp:effectExtent l="0" t="0" r="0" b="0"/>
          <wp:docPr id="5" name="Picture 5" title="University of Leicester Logo"/>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2307600"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13533"/>
    <w:multiLevelType w:val="hybridMultilevel"/>
    <w:tmpl w:val="2A962ED2"/>
    <w:lvl w:ilvl="0" w:tplc="855CBDB4">
      <w:start w:val="1"/>
      <w:numFmt w:val="bullet"/>
      <w:lvlText w:val="•"/>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4785E">
      <w:start w:val="1"/>
      <w:numFmt w:val="bullet"/>
      <w:lvlText w:val="o"/>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2EE1A">
      <w:start w:val="1"/>
      <w:numFmt w:val="bullet"/>
      <w:lvlText w:val="▪"/>
      <w:lvlJc w:val="left"/>
      <w:pPr>
        <w:ind w:left="3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2AD7D4">
      <w:start w:val="1"/>
      <w:numFmt w:val="bullet"/>
      <w:lvlText w:val="•"/>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4A29F2">
      <w:start w:val="1"/>
      <w:numFmt w:val="bullet"/>
      <w:lvlText w:val="o"/>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A1DA">
      <w:start w:val="1"/>
      <w:numFmt w:val="bullet"/>
      <w:lvlText w:val="▪"/>
      <w:lvlJc w:val="left"/>
      <w:pPr>
        <w:ind w:left="5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AEC416">
      <w:start w:val="1"/>
      <w:numFmt w:val="bullet"/>
      <w:lvlText w:val="•"/>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AED1A">
      <w:start w:val="1"/>
      <w:numFmt w:val="bullet"/>
      <w:lvlText w:val="o"/>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DC06DE">
      <w:start w:val="1"/>
      <w:numFmt w:val="bullet"/>
      <w:lvlText w:val="▪"/>
      <w:lvlJc w:val="left"/>
      <w:pPr>
        <w:ind w:left="7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1D2BC9"/>
    <w:multiLevelType w:val="hybridMultilevel"/>
    <w:tmpl w:val="E18091F6"/>
    <w:lvl w:ilvl="0" w:tplc="2CDECA68">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B8E9FA">
      <w:start w:val="1"/>
      <w:numFmt w:val="bullet"/>
      <w:lvlText w:val="o"/>
      <w:lvlJc w:val="left"/>
      <w:pPr>
        <w:ind w:left="2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CCC96">
      <w:start w:val="1"/>
      <w:numFmt w:val="bullet"/>
      <w:lvlText w:val="▪"/>
      <w:lvlJc w:val="left"/>
      <w:pPr>
        <w:ind w:left="3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E113E">
      <w:start w:val="1"/>
      <w:numFmt w:val="bullet"/>
      <w:lvlText w:val="•"/>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B8D0">
      <w:start w:val="1"/>
      <w:numFmt w:val="bullet"/>
      <w:lvlText w:val="o"/>
      <w:lvlJc w:val="left"/>
      <w:pPr>
        <w:ind w:left="4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B27E92">
      <w:start w:val="1"/>
      <w:numFmt w:val="bullet"/>
      <w:lvlText w:val="▪"/>
      <w:lvlJc w:val="left"/>
      <w:pPr>
        <w:ind w:left="5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CC0044">
      <w:start w:val="1"/>
      <w:numFmt w:val="bullet"/>
      <w:lvlText w:val="•"/>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7C4A22">
      <w:start w:val="1"/>
      <w:numFmt w:val="bullet"/>
      <w:lvlText w:val="o"/>
      <w:lvlJc w:val="left"/>
      <w:pPr>
        <w:ind w:left="6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06071A">
      <w:start w:val="1"/>
      <w:numFmt w:val="bullet"/>
      <w:lvlText w:val="▪"/>
      <w:lvlJc w:val="left"/>
      <w:pPr>
        <w:ind w:left="7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10701403">
    <w:abstractNumId w:val="0"/>
  </w:num>
  <w:num w:numId="2" w16cid:durableId="89897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91"/>
    <w:rsid w:val="0009540D"/>
    <w:rsid w:val="004C3DF6"/>
    <w:rsid w:val="009A5591"/>
    <w:rsid w:val="00CA6A89"/>
    <w:rsid w:val="00EE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B560"/>
  <w15:chartTrackingRefBased/>
  <w15:docId w15:val="{292FC82E-E79B-40B6-B455-B8BEFD14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91"/>
    <w:pPr>
      <w:spacing w:after="3" w:line="248" w:lineRule="auto"/>
      <w:ind w:left="963" w:hanging="435"/>
      <w:jc w:val="both"/>
    </w:pPr>
    <w:rPr>
      <w:rFonts w:ascii="Calibri" w:eastAsia="Calibri" w:hAnsi="Calibri" w:cs="Calibri"/>
      <w:color w:val="000000"/>
      <w:lang w:eastAsia="en-GB"/>
    </w:rPr>
  </w:style>
  <w:style w:type="paragraph" w:styleId="Heading1">
    <w:name w:val="heading 1"/>
    <w:basedOn w:val="Normal"/>
    <w:next w:val="Normal"/>
    <w:link w:val="Heading1Char"/>
    <w:uiPriority w:val="9"/>
    <w:qFormat/>
    <w:rsid w:val="009A5591"/>
    <w:pPr>
      <w:keepNext/>
      <w:keepLines/>
      <w:spacing w:before="240" w:after="0"/>
      <w:outlineLvl w:val="0"/>
    </w:pPr>
    <w:rPr>
      <w:rFonts w:eastAsiaTheme="majorEastAsia" w:cstheme="majorBidi"/>
      <w:b/>
      <w:color w:val="auto"/>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A559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A5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591"/>
    <w:rPr>
      <w:rFonts w:ascii="Calibri" w:eastAsia="Calibri" w:hAnsi="Calibri" w:cs="Calibri"/>
      <w:color w:val="000000"/>
      <w:lang w:eastAsia="en-GB"/>
    </w:rPr>
  </w:style>
  <w:style w:type="paragraph" w:styleId="Footer">
    <w:name w:val="footer"/>
    <w:basedOn w:val="Normal"/>
    <w:link w:val="FooterChar"/>
    <w:uiPriority w:val="99"/>
    <w:unhideWhenUsed/>
    <w:rsid w:val="009A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591"/>
    <w:rPr>
      <w:rFonts w:ascii="Calibri" w:eastAsia="Calibri" w:hAnsi="Calibri" w:cs="Calibri"/>
      <w:color w:val="000000"/>
      <w:lang w:eastAsia="en-GB"/>
    </w:rPr>
  </w:style>
  <w:style w:type="character" w:styleId="Hyperlink">
    <w:name w:val="Hyperlink"/>
    <w:basedOn w:val="DefaultParagraphFont"/>
    <w:uiPriority w:val="99"/>
    <w:unhideWhenUsed/>
    <w:rsid w:val="009A5591"/>
    <w:rPr>
      <w:color w:val="0000FF"/>
      <w:u w:val="single"/>
    </w:rPr>
  </w:style>
  <w:style w:type="character" w:customStyle="1" w:styleId="Heading1Char">
    <w:name w:val="Heading 1 Char"/>
    <w:basedOn w:val="DefaultParagraphFont"/>
    <w:link w:val="Heading1"/>
    <w:uiPriority w:val="9"/>
    <w:rsid w:val="009A5591"/>
    <w:rPr>
      <w:rFonts w:ascii="Calibri" w:eastAsiaTheme="majorEastAsia" w:hAnsi="Calibri" w:cstheme="majorBidi"/>
      <w:b/>
      <w:sz w:val="24"/>
      <w:szCs w:val="32"/>
      <w:lang w:eastAsia="en-GB"/>
    </w:rPr>
  </w:style>
  <w:style w:type="paragraph" w:styleId="TOCHeading">
    <w:name w:val="TOC Heading"/>
    <w:basedOn w:val="Heading1"/>
    <w:next w:val="Normal"/>
    <w:uiPriority w:val="39"/>
    <w:unhideWhenUsed/>
    <w:qFormat/>
    <w:rsid w:val="009A5591"/>
    <w:pPr>
      <w:spacing w:line="259" w:lineRule="auto"/>
      <w:ind w:left="0" w:firstLine="0"/>
      <w:jc w:val="left"/>
      <w:outlineLvl w:val="9"/>
    </w:pPr>
    <w:rPr>
      <w:lang w:val="en-US" w:eastAsia="en-US"/>
    </w:rPr>
  </w:style>
  <w:style w:type="paragraph" w:styleId="TOC1">
    <w:name w:val="toc 1"/>
    <w:basedOn w:val="Normal"/>
    <w:next w:val="Normal"/>
    <w:autoRedefine/>
    <w:uiPriority w:val="39"/>
    <w:unhideWhenUsed/>
    <w:rsid w:val="009A5591"/>
    <w:pPr>
      <w:tabs>
        <w:tab w:val="right" w:leader="dot" w:pos="9065"/>
      </w:tabs>
      <w:spacing w:after="100" w:line="600" w:lineRule="auto"/>
      <w:ind w:left="0"/>
    </w:pPr>
  </w:style>
  <w:style w:type="paragraph" w:styleId="CommentText">
    <w:name w:val="annotation text"/>
    <w:basedOn w:val="Normal"/>
    <w:link w:val="CommentTextChar"/>
    <w:uiPriority w:val="99"/>
    <w:unhideWhenUsed/>
    <w:rsid w:val="0009540D"/>
    <w:pPr>
      <w:spacing w:line="240" w:lineRule="auto"/>
    </w:pPr>
    <w:rPr>
      <w:sz w:val="20"/>
      <w:szCs w:val="20"/>
    </w:rPr>
  </w:style>
  <w:style w:type="character" w:customStyle="1" w:styleId="CommentTextChar">
    <w:name w:val="Comment Text Char"/>
    <w:basedOn w:val="DefaultParagraphFont"/>
    <w:link w:val="CommentText"/>
    <w:uiPriority w:val="99"/>
    <w:rsid w:val="0009540D"/>
    <w:rPr>
      <w:rFonts w:ascii="Calibri" w:eastAsia="Calibri" w:hAnsi="Calibri" w:cs="Calibri"/>
      <w:color w:val="000000"/>
      <w:sz w:val="20"/>
      <w:szCs w:val="20"/>
      <w:lang w:eastAsia="en-GB"/>
    </w:rPr>
  </w:style>
  <w:style w:type="paragraph" w:styleId="ListParagraph">
    <w:name w:val="List Paragraph"/>
    <w:basedOn w:val="Normal"/>
    <w:uiPriority w:val="34"/>
    <w:qFormat/>
    <w:rsid w:val="0009540D"/>
    <w:pPr>
      <w:ind w:left="720"/>
      <w:contextualSpacing/>
    </w:pPr>
  </w:style>
  <w:style w:type="table" w:styleId="TableGrid0">
    <w:name w:val="Table Grid"/>
    <w:basedOn w:val="TableNormal"/>
    <w:uiPriority w:val="39"/>
    <w:rsid w:val="0009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e.ac.uk/offices/equalities-unit/dignity-respect/dignity-and-respect-at-leicester-policy" TargetMode="External"/><Relationship Id="rId13" Type="http://schemas.openxmlformats.org/officeDocument/2006/relationships/hyperlink" Target="https://le.ac.uk/about/equality/dignity-and-respe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le.ac.uk/offices/sas2/regulations/senate-regul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ofleicester.sharepoint.com/:b:/r/sites/staff/equality-diversity/Shared%20Documents/D%26%20R%20Docs%20PDF%20versions/D%26R%20at%20Leicester%20Definitions%20%202019.pdf?csf=1&amp;e=u6wgx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niofleicester.sharepoint.com/:b:/r/sites/staff/equality-diversity/Shared%20Documents/D%26%20R%20Docs%20PDF%20versions/D%26R%20at%20Leicester%20Definitions%20%202019.pdf?csf=1&amp;e=u6wgxI" TargetMode="External"/><Relationship Id="rId4" Type="http://schemas.openxmlformats.org/officeDocument/2006/relationships/settings" Target="settings.xml"/><Relationship Id="rId9" Type="http://schemas.openxmlformats.org/officeDocument/2006/relationships/hyperlink" Target="https://uniofleicester.sharepoint.com/:b:/r/sites/staff/equality-diversity/Shared%20Documents/D%26%20R%20Docs%20PDF%20versions/D%26R%20at%20Leicester%20Definitions%20%202019.pdf?csf=1&amp;e=u6wgxI" TargetMode="External"/><Relationship Id="rId14" Type="http://schemas.openxmlformats.org/officeDocument/2006/relationships/hyperlink" Target="mailto:equalities@l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2AB9-462D-47BD-BEBE-575C5DFB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Lefley, Michaela</dc:creator>
  <cp:keywords/>
  <dc:description/>
  <cp:lastModifiedBy>Monika Yakimova</cp:lastModifiedBy>
  <cp:revision>3</cp:revision>
  <dcterms:created xsi:type="dcterms:W3CDTF">2022-08-10T10:57:00Z</dcterms:created>
  <dcterms:modified xsi:type="dcterms:W3CDTF">2022-08-10T13:09:00Z</dcterms:modified>
</cp:coreProperties>
</file>