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0ADF" w14:textId="77777777" w:rsidR="007062DD" w:rsidRDefault="00395F67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218B2E" wp14:editId="7EE50CD8">
            <wp:extent cx="6559004" cy="75609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004" cy="75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C8CE" w14:textId="77777777" w:rsidR="007062DD" w:rsidRDefault="007062DD">
      <w:pPr>
        <w:pStyle w:val="BodyText"/>
        <w:rPr>
          <w:rFonts w:ascii="Times New Roman"/>
          <w:sz w:val="20"/>
        </w:rPr>
      </w:pPr>
    </w:p>
    <w:p w14:paraId="7F695EB9" w14:textId="77777777" w:rsidR="007062DD" w:rsidRDefault="007062DD">
      <w:pPr>
        <w:pStyle w:val="BodyText"/>
        <w:rPr>
          <w:rFonts w:ascii="Times New Roman"/>
          <w:sz w:val="20"/>
        </w:rPr>
      </w:pPr>
    </w:p>
    <w:p w14:paraId="7ADD6C8C" w14:textId="3D0CF4E1" w:rsidR="007062DD" w:rsidRPr="00026B0C" w:rsidRDefault="00026B0C" w:rsidP="00026B0C">
      <w:pPr>
        <w:pStyle w:val="BodyText"/>
        <w:jc w:val="center"/>
        <w:rPr>
          <w:b/>
          <w:sz w:val="16"/>
          <w:szCs w:val="28"/>
        </w:rPr>
      </w:pPr>
      <w:r w:rsidRPr="00026B0C">
        <w:rPr>
          <w:b/>
          <w:spacing w:val="-2"/>
          <w:sz w:val="48"/>
          <w:szCs w:val="28"/>
          <w:lang w:val="en-GB"/>
        </w:rPr>
        <w:t xml:space="preserve">Using Raman Spectroscopy to Assess the Habitability of </w:t>
      </w:r>
      <w:proofErr w:type="spellStart"/>
      <w:r w:rsidRPr="00026B0C">
        <w:rPr>
          <w:b/>
          <w:spacing w:val="-2"/>
          <w:sz w:val="48"/>
          <w:szCs w:val="28"/>
          <w:lang w:val="en-GB"/>
        </w:rPr>
        <w:t>Oxia</w:t>
      </w:r>
      <w:proofErr w:type="spellEnd"/>
      <w:r w:rsidRPr="00026B0C">
        <w:rPr>
          <w:b/>
          <w:spacing w:val="-2"/>
          <w:sz w:val="48"/>
          <w:szCs w:val="28"/>
          <w:lang w:val="en-GB"/>
        </w:rPr>
        <w:t xml:space="preserve"> Planum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985"/>
        <w:gridCol w:w="2098"/>
      </w:tblGrid>
      <w:tr w:rsidR="007062DD" w14:paraId="1F4C5985" w14:textId="77777777">
        <w:trPr>
          <w:trHeight w:val="282"/>
        </w:trPr>
        <w:tc>
          <w:tcPr>
            <w:tcW w:w="5951" w:type="dxa"/>
            <w:vMerge w:val="restart"/>
            <w:tcBorders>
              <w:right w:val="single" w:sz="4" w:space="0" w:color="000000"/>
            </w:tcBorders>
            <w:shd w:val="clear" w:color="auto" w:fill="FFBCBC"/>
          </w:tcPr>
          <w:p w14:paraId="35DF0A78" w14:textId="066895AB" w:rsidR="00026B0C" w:rsidRDefault="00026B0C" w:rsidP="00026B0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</w:pPr>
            <w:r>
              <w:t>Training in the operation of Raman instruments and the interpretation of spectral data.</w:t>
            </w:r>
          </w:p>
          <w:p w14:paraId="48A169A5" w14:textId="146F2199" w:rsidR="00026B0C" w:rsidRDefault="00026B0C" w:rsidP="00026B0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</w:pPr>
            <w:r>
              <w:t xml:space="preserve">Assessing the capability of the ExoMars mission Raman instrument to identify the presence of CHNOPS elements. </w:t>
            </w:r>
          </w:p>
          <w:p w14:paraId="7D227556" w14:textId="3D2375E8" w:rsidR="007062DD" w:rsidRDefault="00026B0C" w:rsidP="00026B0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</w:pPr>
            <w:r>
              <w:t>Investigating the capability of the ExoMars mission Raman instrument to identify signatures of liquid.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2DFC58E9" w14:textId="77777777" w:rsidR="007062DD" w:rsidRDefault="00395F67">
            <w:pPr>
              <w:pStyle w:val="TableParagraph"/>
              <w:spacing w:before="1" w:line="261" w:lineRule="exact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</w:tcBorders>
            <w:shd w:val="clear" w:color="auto" w:fill="E7E6E6"/>
          </w:tcPr>
          <w:p w14:paraId="44EBA601" w14:textId="77777777" w:rsidR="007062DD" w:rsidRDefault="00395F67">
            <w:pPr>
              <w:pStyle w:val="TableParagraph"/>
              <w:spacing w:before="1" w:line="261" w:lineRule="exact"/>
            </w:pPr>
            <w:r>
              <w:rPr>
                <w:spacing w:val="-5"/>
              </w:rPr>
              <w:t>PhD</w:t>
            </w:r>
          </w:p>
        </w:tc>
      </w:tr>
      <w:tr w:rsidR="007062DD" w14:paraId="0A761BDF" w14:textId="77777777">
        <w:trPr>
          <w:trHeight w:val="248"/>
        </w:trPr>
        <w:tc>
          <w:tcPr>
            <w:tcW w:w="5951" w:type="dxa"/>
            <w:vMerge/>
            <w:tcBorders>
              <w:top w:val="nil"/>
              <w:right w:val="single" w:sz="4" w:space="0" w:color="000000"/>
            </w:tcBorders>
            <w:shd w:val="clear" w:color="auto" w:fill="FFBCBC"/>
          </w:tcPr>
          <w:p w14:paraId="4F12FF09" w14:textId="77777777" w:rsidR="007062DD" w:rsidRDefault="007062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ECD32" w14:textId="77777777" w:rsidR="007062DD" w:rsidRDefault="00395F67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Supervisor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</w:tcBorders>
          </w:tcPr>
          <w:p w14:paraId="505B0491" w14:textId="77777777" w:rsidR="007062DD" w:rsidRDefault="00026B0C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 Prof </w:t>
            </w:r>
            <w:r w:rsidRPr="00026B0C">
              <w:rPr>
                <w:rFonts w:asciiTheme="minorHAnsi" w:hAnsiTheme="minorHAnsi" w:cstheme="minorHAnsi"/>
                <w:szCs w:val="28"/>
              </w:rPr>
              <w:t>Ian Hutchinson</w:t>
            </w:r>
          </w:p>
          <w:p w14:paraId="66A2B13B" w14:textId="5E389C3C" w:rsidR="00CE5F59" w:rsidRPr="00395F67" w:rsidRDefault="0080414A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CE5F59">
                <w:rPr>
                  <w:rStyle w:val="Hyperlink"/>
                  <w:rFonts w:ascii="Arial" w:hAnsi="Arial" w:cs="Arial"/>
                  <w:b/>
                  <w:bCs/>
                  <w:color w:val="207EA4"/>
                  <w:shd w:val="clear" w:color="auto" w:fill="E7E7E7"/>
                </w:rPr>
                <w:t>ibh1@le.ac.uk</w:t>
              </w:r>
            </w:hyperlink>
            <w:r w:rsidR="00CE5F59">
              <w:rPr>
                <w:rFonts w:ascii="Arial" w:hAnsi="Arial" w:cs="Arial"/>
                <w:color w:val="3C3C3C"/>
                <w:shd w:val="clear" w:color="auto" w:fill="E7E7E7"/>
              </w:rPr>
              <w:t> </w:t>
            </w:r>
          </w:p>
        </w:tc>
      </w:tr>
      <w:tr w:rsidR="007062DD" w14:paraId="59E35E99" w14:textId="77777777">
        <w:trPr>
          <w:trHeight w:val="265"/>
        </w:trPr>
        <w:tc>
          <w:tcPr>
            <w:tcW w:w="5951" w:type="dxa"/>
            <w:vMerge/>
            <w:tcBorders>
              <w:top w:val="nil"/>
              <w:right w:val="single" w:sz="4" w:space="0" w:color="000000"/>
            </w:tcBorders>
            <w:shd w:val="clear" w:color="auto" w:fill="FFBCBC"/>
          </w:tcPr>
          <w:p w14:paraId="70180204" w14:textId="77777777" w:rsidR="007062DD" w:rsidRDefault="007062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641242A5" w14:textId="77777777" w:rsidR="007062DD" w:rsidRDefault="00395F67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Supervisor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</w:tcBorders>
            <w:shd w:val="clear" w:color="auto" w:fill="E7E6E6"/>
          </w:tcPr>
          <w:p w14:paraId="2B93A310" w14:textId="22012F64" w:rsidR="007062DD" w:rsidRPr="00395F67" w:rsidRDefault="00026B0C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 Dr </w:t>
            </w:r>
            <w:r w:rsidRPr="00026B0C">
              <w:rPr>
                <w:rFonts w:asciiTheme="minorHAnsi" w:hAnsiTheme="minorHAnsi" w:cstheme="minorHAnsi"/>
                <w:szCs w:val="28"/>
              </w:rPr>
              <w:t>Hannah Lerman</w:t>
            </w:r>
          </w:p>
        </w:tc>
      </w:tr>
      <w:tr w:rsidR="007062DD" w14:paraId="67CE04F0" w14:textId="77777777">
        <w:trPr>
          <w:trHeight w:val="507"/>
        </w:trPr>
        <w:tc>
          <w:tcPr>
            <w:tcW w:w="5951" w:type="dxa"/>
            <w:vMerge/>
            <w:tcBorders>
              <w:top w:val="nil"/>
              <w:right w:val="single" w:sz="4" w:space="0" w:color="000000"/>
            </w:tcBorders>
            <w:shd w:val="clear" w:color="auto" w:fill="FFBCBC"/>
          </w:tcPr>
          <w:p w14:paraId="02B0FFDC" w14:textId="77777777" w:rsidR="007062DD" w:rsidRDefault="007062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43A17" w14:textId="77777777" w:rsidR="007062DD" w:rsidRDefault="00395F6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Closing</w:t>
            </w:r>
          </w:p>
          <w:p w14:paraId="494573C7" w14:textId="77777777" w:rsidR="007062DD" w:rsidRDefault="00395F6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</w:tcBorders>
          </w:tcPr>
          <w:p w14:paraId="08776799" w14:textId="32129B0A" w:rsidR="007062DD" w:rsidRDefault="0080414A">
            <w:pPr>
              <w:pStyle w:val="TableParagraph"/>
              <w:spacing w:line="253" w:lineRule="exact"/>
            </w:pPr>
            <w:r>
              <w:t>See web page</w:t>
            </w:r>
          </w:p>
        </w:tc>
      </w:tr>
      <w:tr w:rsidR="007062DD" w14:paraId="421643E4" w14:textId="77777777">
        <w:trPr>
          <w:trHeight w:val="280"/>
        </w:trPr>
        <w:tc>
          <w:tcPr>
            <w:tcW w:w="5951" w:type="dxa"/>
            <w:vMerge/>
            <w:tcBorders>
              <w:top w:val="nil"/>
              <w:right w:val="single" w:sz="4" w:space="0" w:color="000000"/>
            </w:tcBorders>
            <w:shd w:val="clear" w:color="auto" w:fill="FFBCBC"/>
          </w:tcPr>
          <w:p w14:paraId="65A05968" w14:textId="77777777" w:rsidR="007062DD" w:rsidRDefault="007062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392CC0A" w14:textId="77777777" w:rsidR="007062DD" w:rsidRDefault="00395F6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PhD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</w:tcBorders>
            <w:shd w:val="clear" w:color="auto" w:fill="E7E6E6"/>
          </w:tcPr>
          <w:p w14:paraId="41AA6CA1" w14:textId="6FF8736D" w:rsidR="007062DD" w:rsidRDefault="0080414A">
            <w:pPr>
              <w:pStyle w:val="TableParagraph"/>
              <w:spacing w:line="253" w:lineRule="exact"/>
            </w:pPr>
            <w:r>
              <w:t xml:space="preserve">23 </w:t>
            </w:r>
            <w:r w:rsidR="00395F67">
              <w:t>September</w:t>
            </w:r>
            <w:r w:rsidR="00395F67">
              <w:rPr>
                <w:spacing w:val="-2"/>
              </w:rPr>
              <w:t xml:space="preserve"> </w:t>
            </w:r>
            <w:r w:rsidR="00395F67">
              <w:rPr>
                <w:spacing w:val="-4"/>
              </w:rPr>
              <w:t>2024</w:t>
            </w:r>
          </w:p>
        </w:tc>
      </w:tr>
    </w:tbl>
    <w:p w14:paraId="6B374EC7" w14:textId="77777777" w:rsidR="007062DD" w:rsidRDefault="00395F67">
      <w:pPr>
        <w:pStyle w:val="Title"/>
      </w:pPr>
      <w:r>
        <w:t>Project</w:t>
      </w:r>
      <w:r>
        <w:rPr>
          <w:spacing w:val="-15"/>
        </w:rPr>
        <w:t xml:space="preserve"> </w:t>
      </w:r>
      <w:r>
        <w:rPr>
          <w:spacing w:val="-2"/>
        </w:rPr>
        <w:t>Details:</w:t>
      </w:r>
    </w:p>
    <w:p w14:paraId="1F2B8D69" w14:textId="22FE2F6E" w:rsidR="00026B0C" w:rsidRDefault="00026B0C" w:rsidP="00026B0C">
      <w:pPr>
        <w:ind w:firstLine="284"/>
        <w:jc w:val="both"/>
      </w:pPr>
      <w:r w:rsidRPr="00D947D6">
        <w:t xml:space="preserve">The </w:t>
      </w:r>
      <w:r>
        <w:t>project</w:t>
      </w:r>
      <w:r w:rsidRPr="00D947D6">
        <w:t xml:space="preserve"> </w:t>
      </w:r>
      <w:proofErr w:type="spellStart"/>
      <w:r w:rsidRPr="00D947D6">
        <w:t>centr</w:t>
      </w:r>
      <w:r>
        <w:t>es</w:t>
      </w:r>
      <w:proofErr w:type="spellEnd"/>
      <w:r w:rsidRPr="00D947D6">
        <w:t xml:space="preserve"> around preparation/training of the student (as part of the UK RLS team) ahead of the launch of </w:t>
      </w:r>
      <w:r>
        <w:t xml:space="preserve">the </w:t>
      </w:r>
      <w:r w:rsidRPr="00D947D6">
        <w:t>ExoMars</w:t>
      </w:r>
      <w:r>
        <w:t xml:space="preserve"> rover</w:t>
      </w:r>
      <w:r w:rsidRPr="00D947D6">
        <w:t xml:space="preserve"> in 2028, </w:t>
      </w:r>
      <w:proofErr w:type="spellStart"/>
      <w:r w:rsidRPr="00D947D6">
        <w:t>focussing</w:t>
      </w:r>
      <w:proofErr w:type="spellEnd"/>
      <w:r w:rsidRPr="00D947D6">
        <w:t xml:space="preserve"> on preparations for drill site selection and </w:t>
      </w:r>
      <w:r>
        <w:t xml:space="preserve">the </w:t>
      </w:r>
      <w:r w:rsidRPr="00D947D6">
        <w:t xml:space="preserve">analysis/exploitation of RLS surface data, with the main goal of investigating the habitability of </w:t>
      </w:r>
      <w:proofErr w:type="spellStart"/>
      <w:r w:rsidRPr="00D947D6">
        <w:t>Oxia</w:t>
      </w:r>
      <w:proofErr w:type="spellEnd"/>
      <w:r w:rsidRPr="00D947D6">
        <w:t xml:space="preserve"> Planum. Correct spectral interpretation of RLS data during the mission will depend on a </w:t>
      </w:r>
      <w:r w:rsidRPr="009E1C7D">
        <w:t>detailed understanding of instrument operations, the specific environmental context of samples, and sufficient pre-</w:t>
      </w:r>
      <w:proofErr w:type="spellStart"/>
      <w:r w:rsidRPr="009E1C7D">
        <w:t>characterisation</w:t>
      </w:r>
      <w:proofErr w:type="spellEnd"/>
      <w:r w:rsidRPr="009E1C7D">
        <w:t xml:space="preserve"> of analogue</w:t>
      </w:r>
      <w:r>
        <w:t xml:space="preserve"> materials</w:t>
      </w:r>
      <w:r w:rsidRPr="009E1C7D">
        <w:t xml:space="preserve"> (the student will have access to flight spare instrumentation, through direct collaboration with the RLS PI group and as </w:t>
      </w:r>
      <w:r>
        <w:t xml:space="preserve">part </w:t>
      </w:r>
      <w:r w:rsidRPr="009E1C7D">
        <w:t>of the RLS Co-PI team at Leicester). Additionally</w:t>
      </w:r>
      <w:r>
        <w:t>, through t</w:t>
      </w:r>
      <w:r w:rsidRPr="0044060E">
        <w:t>his activity</w:t>
      </w:r>
      <w:r>
        <w:t>, we</w:t>
      </w:r>
      <w:r w:rsidRPr="0044060E">
        <w:t xml:space="preserve"> </w:t>
      </w:r>
      <w:r>
        <w:t>seek</w:t>
      </w:r>
      <w:r w:rsidRPr="0044060E">
        <w:t xml:space="preserve"> to</w:t>
      </w:r>
      <w:r>
        <w:t xml:space="preserve"> engage</w:t>
      </w:r>
      <w:r w:rsidRPr="0044060E">
        <w:t xml:space="preserve"> a </w:t>
      </w:r>
      <w:r>
        <w:t xml:space="preserve">broader </w:t>
      </w:r>
      <w:r w:rsidRPr="0044060E">
        <w:t>network of UK planetary science students</w:t>
      </w:r>
      <w:r>
        <w:t>/</w:t>
      </w:r>
      <w:r w:rsidRPr="0044060E">
        <w:t>researchers in</w:t>
      </w:r>
      <w:r>
        <w:t xml:space="preserve"> the ExoMars </w:t>
      </w:r>
      <w:proofErr w:type="spellStart"/>
      <w:r>
        <w:t>programme</w:t>
      </w:r>
      <w:proofErr w:type="spellEnd"/>
      <w:r w:rsidRPr="0044060E">
        <w:t>.</w:t>
      </w:r>
    </w:p>
    <w:p w14:paraId="0C6E594B" w14:textId="77777777" w:rsidR="00026B0C" w:rsidRDefault="00026B0C" w:rsidP="00026B0C">
      <w:pPr>
        <w:ind w:firstLine="284"/>
        <w:jc w:val="both"/>
      </w:pPr>
    </w:p>
    <w:p w14:paraId="64DCB4E8" w14:textId="77777777" w:rsidR="00026B0C" w:rsidRDefault="00026B0C" w:rsidP="00026B0C">
      <w:pPr>
        <w:ind w:firstLine="284"/>
        <w:jc w:val="both"/>
      </w:pPr>
      <w:r>
        <w:t>H</w:t>
      </w:r>
      <w:r w:rsidRPr="00013B94">
        <w:t>abitab</w:t>
      </w:r>
      <w:r>
        <w:t>le environments</w:t>
      </w:r>
      <w:r w:rsidRPr="00013B94">
        <w:t xml:space="preserve"> require specific elements to build life</w:t>
      </w:r>
      <w:r>
        <w:t>, the</w:t>
      </w:r>
      <w:r w:rsidRPr="00013B94">
        <w:t xml:space="preserve"> minimal set being</w:t>
      </w:r>
      <w:r>
        <w:t>:</w:t>
      </w:r>
      <w:r w:rsidRPr="00013B94">
        <w:t xml:space="preserve"> CHNOPS </w:t>
      </w:r>
      <w:r>
        <w:t>(</w:t>
      </w:r>
      <w:r w:rsidRPr="00013B94">
        <w:t>but also monovalent and divalent ions)</w:t>
      </w:r>
      <w:r>
        <w:t>;</w:t>
      </w:r>
      <w:r w:rsidRPr="00013B94">
        <w:t xml:space="preserve"> an energy source</w:t>
      </w:r>
      <w:r>
        <w:t xml:space="preserve">, </w:t>
      </w:r>
      <w:r w:rsidRPr="00013B94">
        <w:t>usually in the form of a redox couple</w:t>
      </w:r>
      <w:r>
        <w:t>;</w:t>
      </w:r>
      <w:r w:rsidRPr="00013B94">
        <w:t xml:space="preserve"> and liquid water. </w:t>
      </w:r>
      <w:r>
        <w:t>Additionally</w:t>
      </w:r>
      <w:r w:rsidRPr="00013B94">
        <w:t>, iron is considered an essential element for life and can be</w:t>
      </w:r>
      <w:r>
        <w:t xml:space="preserve"> </w:t>
      </w:r>
      <w:r w:rsidRPr="00013B94">
        <w:t>used as an electron donor (Fe</w:t>
      </w:r>
      <w:r w:rsidRPr="00E26E86">
        <w:rPr>
          <w:vertAlign w:val="superscript"/>
        </w:rPr>
        <w:t>2+</w:t>
      </w:r>
      <w:r w:rsidRPr="00013B94">
        <w:t>) or acceptor (Fe</w:t>
      </w:r>
      <w:r w:rsidRPr="00E26E86">
        <w:rPr>
          <w:vertAlign w:val="superscript"/>
        </w:rPr>
        <w:t>3+</w:t>
      </w:r>
      <w:r w:rsidRPr="00013B94">
        <w:t xml:space="preserve">) in energy acquisition. </w:t>
      </w:r>
      <w:r>
        <w:t>T</w:t>
      </w:r>
      <w:r w:rsidRPr="00013B94">
        <w:t>he redox sensitive nature of Fe and the large number of Fe-bearing mineral types</w:t>
      </w:r>
      <w:r>
        <w:t xml:space="preserve"> also means</w:t>
      </w:r>
      <w:r w:rsidRPr="00013B94">
        <w:t xml:space="preserve"> the element is a proxy for the history of water which </w:t>
      </w:r>
      <w:r>
        <w:t>can inform</w:t>
      </w:r>
      <w:r w:rsidRPr="00013B94">
        <w:t xml:space="preserve"> us about habitability.</w:t>
      </w:r>
      <w:r>
        <w:t xml:space="preserve"> Consequently, t</w:t>
      </w:r>
      <w:r w:rsidRPr="00013B94">
        <w:t>he likelihood that a</w:t>
      </w:r>
      <w:r>
        <w:t>n</w:t>
      </w:r>
      <w:r w:rsidRPr="00013B94">
        <w:t xml:space="preserve"> environment could support life processes can be determined by assessing redox conditions, the </w:t>
      </w:r>
      <w:r>
        <w:t>nature/</w:t>
      </w:r>
      <w:r w:rsidRPr="00013B94">
        <w:t>existence of water-rock interaction processes, and biogenic mineralization</w:t>
      </w:r>
      <w:r>
        <w:t xml:space="preserve"> (</w:t>
      </w:r>
      <w:r w:rsidRPr="00013B94">
        <w:t>which can</w:t>
      </w:r>
      <w:r>
        <w:t xml:space="preserve"> all</w:t>
      </w:r>
      <w:r w:rsidRPr="00013B94">
        <w:t xml:space="preserve"> be </w:t>
      </w:r>
      <w:r>
        <w:t xml:space="preserve">measured with </w:t>
      </w:r>
      <w:r w:rsidRPr="00013B94">
        <w:t>RLS and other</w:t>
      </w:r>
      <w:r>
        <w:t xml:space="preserve"> ALD</w:t>
      </w:r>
      <w:r w:rsidRPr="00013B94">
        <w:t xml:space="preserve"> instruments</w:t>
      </w:r>
      <w:r>
        <w:t>)</w:t>
      </w:r>
      <w:r w:rsidRPr="00013B94">
        <w:t xml:space="preserve">. </w:t>
      </w:r>
      <w:r w:rsidRPr="0018018C">
        <w:t xml:space="preserve">The </w:t>
      </w:r>
      <w:r>
        <w:t>proposed work</w:t>
      </w:r>
      <w:r w:rsidRPr="0018018C">
        <w:t xml:space="preserve"> includes detailed laboratory </w:t>
      </w:r>
      <w:proofErr w:type="spellStart"/>
      <w:r w:rsidRPr="0018018C">
        <w:t>characterisation</w:t>
      </w:r>
      <w:proofErr w:type="spellEnd"/>
      <w:r w:rsidRPr="0018018C">
        <w:t xml:space="preserve"> of specifically targeted field specimens </w:t>
      </w:r>
      <w:r>
        <w:t xml:space="preserve">(some already acquired, some to be procured during the proposed field trips) </w:t>
      </w:r>
      <w:r w:rsidRPr="0018018C">
        <w:t>in the following key areas: (i) identification</w:t>
      </w:r>
      <w:r>
        <w:t xml:space="preserve"> / </w:t>
      </w:r>
      <w:proofErr w:type="spellStart"/>
      <w:r w:rsidRPr="0018018C">
        <w:t>characterisation</w:t>
      </w:r>
      <w:proofErr w:type="spellEnd"/>
      <w:r w:rsidRPr="0018018C">
        <w:t xml:space="preserve"> of materials containing CHNOPS elements; (ii) detection of redox couples that serve as an energy source for metabolic processes; (iii) </w:t>
      </w:r>
      <w:proofErr w:type="spellStart"/>
      <w:r w:rsidRPr="0018018C">
        <w:t>characterisation</w:t>
      </w:r>
      <w:proofErr w:type="spellEnd"/>
      <w:r w:rsidRPr="0018018C">
        <w:t xml:space="preserve"> of minerals associated with </w:t>
      </w:r>
      <w:r>
        <w:t>water-rock</w:t>
      </w:r>
      <w:r w:rsidRPr="0018018C">
        <w:t xml:space="preserve"> interactions. </w:t>
      </w:r>
      <w:r w:rsidRPr="009E1C7D">
        <w:t>The study will address</w:t>
      </w:r>
      <w:r>
        <w:t>:</w:t>
      </w:r>
    </w:p>
    <w:p w14:paraId="0EB44212" w14:textId="77777777" w:rsidR="00026B0C" w:rsidRDefault="00026B0C" w:rsidP="00026B0C">
      <w:pPr>
        <w:ind w:firstLine="142"/>
        <w:jc w:val="both"/>
        <w:rPr>
          <w:b/>
          <w:bCs/>
        </w:rPr>
      </w:pPr>
    </w:p>
    <w:p w14:paraId="0215183A" w14:textId="287795A2" w:rsidR="00026B0C" w:rsidRPr="009B7D53" w:rsidRDefault="00026B0C" w:rsidP="00026B0C">
      <w:pPr>
        <w:ind w:firstLine="142"/>
        <w:jc w:val="both"/>
      </w:pPr>
      <w:r w:rsidRPr="009B7D53">
        <w:rPr>
          <w:b/>
          <w:bCs/>
        </w:rPr>
        <w:t>1)</w:t>
      </w:r>
      <w:r w:rsidRPr="009B7D53">
        <w:t xml:space="preserve"> The extent to which conditions for habitability can be adequately assessed using RLS spectra acquired from </w:t>
      </w:r>
      <w:proofErr w:type="spellStart"/>
      <w:r w:rsidRPr="009B7D53">
        <w:t>Oxia</w:t>
      </w:r>
      <w:proofErr w:type="spellEnd"/>
      <w:r w:rsidRPr="009B7D53">
        <w:t xml:space="preserve"> Planum analogues</w:t>
      </w:r>
      <w:r>
        <w:t>.</w:t>
      </w:r>
    </w:p>
    <w:p w14:paraId="7E4F2AC7" w14:textId="77777777" w:rsidR="00026B0C" w:rsidRPr="009B7D53" w:rsidRDefault="00026B0C" w:rsidP="00026B0C">
      <w:pPr>
        <w:ind w:firstLine="142"/>
        <w:jc w:val="both"/>
      </w:pPr>
      <w:r w:rsidRPr="009B7D53">
        <w:rPr>
          <w:b/>
          <w:bCs/>
        </w:rPr>
        <w:t>2)</w:t>
      </w:r>
      <w:r w:rsidRPr="009B7D53">
        <w:t xml:space="preserve"> How RLS data can be best combined with other instrument data to yield maximum knowledge about habitability. </w:t>
      </w:r>
    </w:p>
    <w:p w14:paraId="3E291FF6" w14:textId="77777777" w:rsidR="00026B0C" w:rsidRPr="009B7D53" w:rsidRDefault="00026B0C" w:rsidP="00026B0C">
      <w:pPr>
        <w:ind w:firstLine="142"/>
        <w:jc w:val="both"/>
      </w:pPr>
      <w:r w:rsidRPr="009B7D53">
        <w:rPr>
          <w:b/>
          <w:bCs/>
        </w:rPr>
        <w:t>3)</w:t>
      </w:r>
      <w:r w:rsidRPr="009B7D53">
        <w:t xml:space="preserve"> How Fe minerals and their oxidation states can be used to assess availability of past liquid water, and thus habitability as part of a potential redox couple(s). </w:t>
      </w:r>
    </w:p>
    <w:p w14:paraId="22E78F77" w14:textId="77777777" w:rsidR="00026B0C" w:rsidRDefault="00026B0C" w:rsidP="00026B0C">
      <w:pPr>
        <w:ind w:firstLine="284"/>
        <w:jc w:val="both"/>
      </w:pPr>
    </w:p>
    <w:p w14:paraId="4ABC0119" w14:textId="00644CEB" w:rsidR="00026B0C" w:rsidRDefault="00026B0C" w:rsidP="00026B0C">
      <w:pPr>
        <w:ind w:firstLine="284"/>
        <w:jc w:val="both"/>
      </w:pPr>
      <w:r w:rsidRPr="0018018C">
        <w:t>The 4–5-year period before launch</w:t>
      </w:r>
      <w:r>
        <w:t xml:space="preserve"> (</w:t>
      </w:r>
      <w:r w:rsidRPr="0018018C">
        <w:t xml:space="preserve">the ExoMars rover launch </w:t>
      </w:r>
      <w:r>
        <w:t xml:space="preserve">is </w:t>
      </w:r>
      <w:r w:rsidRPr="0018018C">
        <w:t xml:space="preserve">now planned for 2028), provides a good opportunity to ensure PhD students are adequately trained in instrument operation, data exploitation, and surface operations (noting imminent opportunities to be included in </w:t>
      </w:r>
      <w:r>
        <w:t>R</w:t>
      </w:r>
      <w:r w:rsidRPr="0018018C">
        <w:t xml:space="preserve">over </w:t>
      </w:r>
      <w:r>
        <w:t>O</w:t>
      </w:r>
      <w:r w:rsidRPr="0018018C">
        <w:t>perations</w:t>
      </w:r>
      <w:r>
        <w:t xml:space="preserve"> Control</w:t>
      </w:r>
      <w:r w:rsidRPr="0018018C">
        <w:t xml:space="preserve"> </w:t>
      </w:r>
      <w:r>
        <w:t>C</w:t>
      </w:r>
      <w:r w:rsidRPr="0018018C">
        <w:t>entre led training activities and RLS consortium training workshops).</w:t>
      </w:r>
      <w:r>
        <w:t xml:space="preserve"> </w:t>
      </w:r>
      <w:r w:rsidRPr="0018018C">
        <w:t xml:space="preserve">Furthermore, the UK supervisory team are involved in two additional instrument development activities that have followed on from the work completed on the ExoMars RLS </w:t>
      </w:r>
      <w:proofErr w:type="spellStart"/>
      <w:r w:rsidRPr="0018018C">
        <w:t>programme</w:t>
      </w:r>
      <w:proofErr w:type="spellEnd"/>
      <w:r w:rsidRPr="0018018C">
        <w:t xml:space="preserve">: the design of a handheld Raman-XRF instrument for use by an astronaut on the moon (funded through the ESA PANGAEA </w:t>
      </w:r>
      <w:proofErr w:type="spellStart"/>
      <w:r w:rsidRPr="0018018C">
        <w:lastRenderedPageBreak/>
        <w:t>programme</w:t>
      </w:r>
      <w:proofErr w:type="spellEnd"/>
      <w:r w:rsidRPr="0018018C">
        <w:t xml:space="preserve">), and the integration of spare RLS flight subsystems on the </w:t>
      </w:r>
      <w:proofErr w:type="spellStart"/>
      <w:r w:rsidRPr="0018018C">
        <w:t>ispace</w:t>
      </w:r>
      <w:proofErr w:type="spellEnd"/>
      <w:r w:rsidRPr="0018018C">
        <w:t xml:space="preserve"> HAKUTO-R rover mission, due for launch in 2026. The team work closely with INTA-CAB on both of </w:t>
      </w:r>
      <w:proofErr w:type="spellStart"/>
      <w:r w:rsidRPr="0018018C">
        <w:t>programmes</w:t>
      </w:r>
      <w:proofErr w:type="spellEnd"/>
      <w:r w:rsidRPr="0018018C">
        <w:t xml:space="preserve"> and a research student starting in 2024 would have the opportunity to contribute to, and learn from, both of </w:t>
      </w:r>
      <w:r>
        <w:t xml:space="preserve">these </w:t>
      </w:r>
      <w:r w:rsidRPr="0018018C">
        <w:t>activities in the lead up to the launch of the ExoMars rover in 2028.</w:t>
      </w:r>
    </w:p>
    <w:p w14:paraId="7275539E" w14:textId="77777777" w:rsidR="00026B0C" w:rsidRDefault="00026B0C" w:rsidP="00026B0C">
      <w:pPr>
        <w:ind w:firstLine="284"/>
        <w:jc w:val="both"/>
      </w:pPr>
    </w:p>
    <w:p w14:paraId="29830908" w14:textId="57D07069" w:rsidR="00026B0C" w:rsidRPr="0018018C" w:rsidRDefault="00026B0C" w:rsidP="00026B0C">
      <w:pPr>
        <w:ind w:firstLine="284"/>
        <w:jc w:val="both"/>
      </w:pPr>
      <w:r>
        <w:t xml:space="preserve">Activities in this project will include: </w:t>
      </w:r>
      <w:r>
        <w:rPr>
          <w:i/>
          <w:iCs/>
        </w:rPr>
        <w:t>1</w:t>
      </w:r>
      <w:r w:rsidRPr="00D45D07">
        <w:rPr>
          <w:i/>
          <w:iCs/>
          <w:vertAlign w:val="superscript"/>
        </w:rPr>
        <w:t>st</w:t>
      </w:r>
      <w:r>
        <w:rPr>
          <w:i/>
          <w:iCs/>
        </w:rPr>
        <w:t xml:space="preserve"> year:</w:t>
      </w:r>
      <w:r>
        <w:t xml:space="preserve"> </w:t>
      </w:r>
      <w:r w:rsidRPr="0018018C">
        <w:t>Training in use of Raman instrument</w:t>
      </w:r>
      <w:r>
        <w:t>s</w:t>
      </w:r>
      <w:r w:rsidRPr="0018018C">
        <w:t xml:space="preserve"> and complementary spectroscopy techniques (including XRF and LIBS, </w:t>
      </w:r>
      <w:r>
        <w:t>in order to facilitate comparisons with instruments such as</w:t>
      </w:r>
      <w:r w:rsidRPr="0018018C">
        <w:t xml:space="preserve"> ChemCam on</w:t>
      </w:r>
      <w:r>
        <w:t xml:space="preserve"> the</w:t>
      </w:r>
      <w:r w:rsidRPr="0018018C">
        <w:t xml:space="preserve"> </w:t>
      </w:r>
      <w:r>
        <w:t xml:space="preserve">Perseverance </w:t>
      </w:r>
      <w:r w:rsidRPr="0018018C">
        <w:t xml:space="preserve">rover). Participation in field trips and ExoMars/PANGAEA consortium meetings (i.e., covering RLS operations and Raman/XRF instrument activities for lunar missions). </w:t>
      </w:r>
      <w:r w:rsidRPr="0018018C">
        <w:rPr>
          <w:i/>
          <w:iCs/>
        </w:rPr>
        <w:t>Year 2:</w:t>
      </w:r>
      <w:r w:rsidRPr="0018018C">
        <w:t xml:space="preserve"> Analysis of field specimens, </w:t>
      </w:r>
      <w:r>
        <w:t>focusing</w:t>
      </w:r>
      <w:r w:rsidRPr="0018018C">
        <w:t xml:space="preserve"> on RLS operations and provision of inputs into drill site selection discussions. Development of </w:t>
      </w:r>
      <w:r>
        <w:t xml:space="preserve">dedicated </w:t>
      </w:r>
      <w:r w:rsidRPr="0018018C">
        <w:t>laboratory facility for autonomous acquisition of spectral data. Present</w:t>
      </w:r>
      <w:r>
        <w:t>ation of</w:t>
      </w:r>
      <w:r w:rsidRPr="0018018C">
        <w:t xml:space="preserve"> initial results at international conference. Participat</w:t>
      </w:r>
      <w:r>
        <w:t>ion</w:t>
      </w:r>
      <w:r w:rsidRPr="0018018C">
        <w:t xml:space="preserve"> in mission simulation activities and RLS consortium surface operation planning meetings. Participat</w:t>
      </w:r>
      <w:r>
        <w:t>ion</w:t>
      </w:r>
      <w:r w:rsidRPr="0018018C">
        <w:t xml:space="preserve"> in two field trips and two visits to external collaborator laboratories. </w:t>
      </w:r>
      <w:r w:rsidRPr="0018018C">
        <w:rPr>
          <w:i/>
          <w:iCs/>
        </w:rPr>
        <w:t>Year 3:</w:t>
      </w:r>
      <w:r w:rsidRPr="0018018C">
        <w:t xml:space="preserve"> Completion of field specimen analyses and write up of documentation</w:t>
      </w:r>
      <w:r>
        <w:t xml:space="preserve"> (including thesis)</w:t>
      </w:r>
      <w:r w:rsidRPr="0018018C">
        <w:t xml:space="preserve"> detail</w:t>
      </w:r>
      <w:r>
        <w:t>ing</w:t>
      </w:r>
      <w:r w:rsidRPr="0018018C">
        <w:t xml:space="preserve"> </w:t>
      </w:r>
      <w:r>
        <w:t xml:space="preserve">research </w:t>
      </w:r>
      <w:r w:rsidRPr="0018018C">
        <w:t>outputs. Continued participation in mission simulation</w:t>
      </w:r>
      <w:r>
        <w:t>s</w:t>
      </w:r>
      <w:r w:rsidRPr="0018018C">
        <w:t xml:space="preserve"> and RLS surface operation planning meetings.</w:t>
      </w:r>
    </w:p>
    <w:p w14:paraId="2D85B4CE" w14:textId="77777777" w:rsidR="007062DD" w:rsidRDefault="007062DD">
      <w:pPr>
        <w:pStyle w:val="BodyText"/>
        <w:spacing w:before="2"/>
        <w:rPr>
          <w:sz w:val="20"/>
        </w:rPr>
      </w:pPr>
    </w:p>
    <w:p w14:paraId="7D761A80" w14:textId="794E6045" w:rsidR="007062DD" w:rsidRDefault="00395F67">
      <w:pPr>
        <w:spacing w:before="10"/>
        <w:ind w:left="120"/>
        <w:rPr>
          <w:spacing w:val="-2"/>
          <w:sz w:val="44"/>
        </w:rPr>
      </w:pPr>
      <w:r>
        <w:rPr>
          <w:spacing w:val="-2"/>
          <w:sz w:val="44"/>
        </w:rPr>
        <w:t>References:</w:t>
      </w:r>
    </w:p>
    <w:p w14:paraId="3A4CE924" w14:textId="77777777" w:rsidR="00026B0C" w:rsidRPr="002F2843" w:rsidRDefault="00026B0C" w:rsidP="00026B0C">
      <w:pPr>
        <w:pStyle w:val="ListParagraph"/>
        <w:numPr>
          <w:ilvl w:val="0"/>
          <w:numId w:val="2"/>
        </w:numPr>
        <w:jc w:val="both"/>
      </w:pPr>
      <w:r w:rsidRPr="002F2843">
        <w:t xml:space="preserve">J. </w:t>
      </w:r>
      <w:proofErr w:type="spellStart"/>
      <w:r w:rsidRPr="002F2843">
        <w:t>Vago</w:t>
      </w:r>
      <w:proofErr w:type="spellEnd"/>
      <w:r w:rsidRPr="002F2843">
        <w:t>, et al., “Habitability on Early Mars and the Search for Biosignatures with the ExoMars Rover”, 2017, Astrobiology 17</w:t>
      </w:r>
    </w:p>
    <w:p w14:paraId="3398CA84" w14:textId="77777777" w:rsidR="00026B0C" w:rsidRPr="002F2843" w:rsidRDefault="00026B0C" w:rsidP="00026B0C">
      <w:pPr>
        <w:pStyle w:val="ListParagraph"/>
        <w:numPr>
          <w:ilvl w:val="0"/>
          <w:numId w:val="2"/>
        </w:numPr>
        <w:jc w:val="both"/>
      </w:pPr>
      <w:r w:rsidRPr="002F2843">
        <w:t xml:space="preserve">F. </w:t>
      </w:r>
      <w:proofErr w:type="spellStart"/>
      <w:r w:rsidRPr="002F2843">
        <w:t>Rull</w:t>
      </w:r>
      <w:proofErr w:type="spellEnd"/>
      <w:r w:rsidRPr="002F2843">
        <w:t>, S. Maurice, I. Hutchinson, et al., “The Raman Laser Spectrometer for the ExoMars Rover Mission to Mars”, 2017, Astrobiology 17</w:t>
      </w:r>
    </w:p>
    <w:p w14:paraId="079E0BE3" w14:textId="77777777" w:rsidR="00026B0C" w:rsidRPr="002F2843" w:rsidRDefault="00026B0C" w:rsidP="00026B0C">
      <w:pPr>
        <w:pStyle w:val="ListParagraph"/>
        <w:numPr>
          <w:ilvl w:val="0"/>
          <w:numId w:val="2"/>
        </w:numPr>
        <w:jc w:val="both"/>
      </w:pPr>
      <w:r w:rsidRPr="002F2843">
        <w:t>M. McHugh, J. Parnell, I. Hutchinson, et al., “Raman analysis of a shocked planetary surface analogue: Implications for habitability on Mars”, 2021, Journal of Raman Spectroscopy 51, 12</w:t>
      </w:r>
    </w:p>
    <w:p w14:paraId="4ED039F7" w14:textId="5B9D10D6" w:rsidR="00026B0C" w:rsidRDefault="00026B0C">
      <w:pPr>
        <w:spacing w:before="10"/>
        <w:ind w:left="120"/>
        <w:rPr>
          <w:spacing w:val="-2"/>
          <w:sz w:val="44"/>
        </w:rPr>
      </w:pPr>
    </w:p>
    <w:p w14:paraId="339BCE04" w14:textId="70AAE588" w:rsidR="006178A1" w:rsidRDefault="006178A1" w:rsidP="006178A1">
      <w:pPr>
        <w:spacing w:before="10"/>
        <w:ind w:left="120"/>
        <w:jc w:val="center"/>
        <w:rPr>
          <w:spacing w:val="-2"/>
          <w:sz w:val="44"/>
        </w:rPr>
      </w:pPr>
      <w:r>
        <w:rPr>
          <w:noProof/>
          <w:spacing w:val="-2"/>
          <w:sz w:val="44"/>
        </w:rPr>
        <w:drawing>
          <wp:anchor distT="0" distB="0" distL="114300" distR="114300" simplePos="0" relativeHeight="487588864" behindDoc="1" locked="0" layoutInCell="1" allowOverlap="1" wp14:anchorId="47A63546" wp14:editId="67347430">
            <wp:simplePos x="0" y="0"/>
            <wp:positionH relativeFrom="page">
              <wp:align>center</wp:align>
            </wp:positionH>
            <wp:positionV relativeFrom="paragraph">
              <wp:posOffset>167345</wp:posOffset>
            </wp:positionV>
            <wp:extent cx="4478225" cy="3212304"/>
            <wp:effectExtent l="152400" t="152400" r="360680" b="369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25" cy="3212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5920CE9" w14:textId="1223561A" w:rsidR="003A0A3E" w:rsidRDefault="003A0A3E" w:rsidP="006178A1">
      <w:pPr>
        <w:spacing w:before="10"/>
        <w:ind w:left="120"/>
        <w:jc w:val="center"/>
        <w:rPr>
          <w:spacing w:val="-2"/>
          <w:sz w:val="44"/>
        </w:rPr>
      </w:pPr>
    </w:p>
    <w:p w14:paraId="43F761D2" w14:textId="04709234" w:rsidR="003A0A3E" w:rsidRDefault="003A0A3E">
      <w:pPr>
        <w:spacing w:before="10"/>
        <w:ind w:left="120"/>
        <w:rPr>
          <w:spacing w:val="-2"/>
          <w:sz w:val="44"/>
        </w:rPr>
      </w:pPr>
    </w:p>
    <w:p w14:paraId="6DA5915B" w14:textId="54CBAF8C" w:rsidR="003A0A3E" w:rsidRDefault="003A0A3E">
      <w:pPr>
        <w:spacing w:before="10"/>
        <w:ind w:left="120"/>
        <w:rPr>
          <w:spacing w:val="-2"/>
          <w:sz w:val="44"/>
        </w:rPr>
      </w:pPr>
    </w:p>
    <w:p w14:paraId="251A684D" w14:textId="01200EAB" w:rsidR="006178A1" w:rsidRDefault="006178A1">
      <w:pPr>
        <w:spacing w:before="10"/>
        <w:ind w:left="120"/>
        <w:rPr>
          <w:spacing w:val="-2"/>
          <w:sz w:val="44"/>
        </w:rPr>
      </w:pPr>
    </w:p>
    <w:p w14:paraId="45DF6E8B" w14:textId="27A09BB9" w:rsidR="006178A1" w:rsidRDefault="006178A1">
      <w:pPr>
        <w:spacing w:before="10"/>
        <w:ind w:left="120"/>
        <w:rPr>
          <w:spacing w:val="-2"/>
          <w:sz w:val="44"/>
        </w:rPr>
      </w:pPr>
    </w:p>
    <w:p w14:paraId="5782C340" w14:textId="4E894D2F" w:rsidR="006178A1" w:rsidRDefault="006178A1">
      <w:pPr>
        <w:spacing w:before="10"/>
        <w:ind w:left="120"/>
        <w:rPr>
          <w:spacing w:val="-2"/>
          <w:sz w:val="44"/>
        </w:rPr>
      </w:pPr>
    </w:p>
    <w:p w14:paraId="0462E33D" w14:textId="60B4427F" w:rsidR="006178A1" w:rsidRDefault="006178A1">
      <w:pPr>
        <w:spacing w:before="10"/>
        <w:ind w:left="120"/>
        <w:rPr>
          <w:spacing w:val="-2"/>
          <w:sz w:val="44"/>
        </w:rPr>
      </w:pPr>
    </w:p>
    <w:p w14:paraId="7E67E9D6" w14:textId="73829F90" w:rsidR="006178A1" w:rsidRDefault="006178A1">
      <w:pPr>
        <w:spacing w:before="10"/>
        <w:ind w:left="120"/>
        <w:rPr>
          <w:spacing w:val="-2"/>
          <w:sz w:val="44"/>
        </w:rPr>
      </w:pPr>
    </w:p>
    <w:p w14:paraId="75305C02" w14:textId="5B46ACF0" w:rsidR="006178A1" w:rsidRDefault="006178A1">
      <w:pPr>
        <w:spacing w:before="10"/>
        <w:ind w:left="120"/>
        <w:rPr>
          <w:spacing w:val="-2"/>
          <w:sz w:val="44"/>
        </w:rPr>
      </w:pPr>
    </w:p>
    <w:p w14:paraId="0C71AA2B" w14:textId="697A0617" w:rsidR="003A0A3E" w:rsidRDefault="003A0A3E" w:rsidP="006178A1">
      <w:pPr>
        <w:widowControl/>
        <w:autoSpaceDE/>
        <w:autoSpaceDN/>
        <w:contextualSpacing/>
        <w:jc w:val="center"/>
      </w:pPr>
      <w:r>
        <w:t xml:space="preserve">The spectrometer unit of the flight version of the ExoMars Raman Laser Spectrometer. Credit: </w:t>
      </w:r>
      <w:proofErr w:type="spellStart"/>
      <w:r>
        <w:t>Rull</w:t>
      </w:r>
      <w:proofErr w:type="spellEnd"/>
      <w:r>
        <w:t xml:space="preserve"> et al., 2017, Astrobiology 17</w:t>
      </w:r>
    </w:p>
    <w:p w14:paraId="2A19246E" w14:textId="54FB2E09" w:rsidR="003A0A3E" w:rsidRDefault="003A0A3E" w:rsidP="003A0A3E">
      <w:pPr>
        <w:widowControl/>
        <w:autoSpaceDE/>
        <w:autoSpaceDN/>
        <w:contextualSpacing/>
      </w:pPr>
    </w:p>
    <w:p w14:paraId="4321E98F" w14:textId="0709E812" w:rsidR="003A0A3E" w:rsidRDefault="003A0A3E" w:rsidP="003A0A3E">
      <w:pPr>
        <w:widowControl/>
        <w:autoSpaceDE/>
        <w:autoSpaceDN/>
        <w:contextualSpacing/>
      </w:pPr>
    </w:p>
    <w:p w14:paraId="2218BB34" w14:textId="3682B97C" w:rsidR="003A0A3E" w:rsidRDefault="003A0A3E" w:rsidP="003A0A3E">
      <w:pPr>
        <w:widowControl/>
        <w:autoSpaceDE/>
        <w:autoSpaceDN/>
        <w:contextualSpacing/>
      </w:pPr>
    </w:p>
    <w:p w14:paraId="5012AD67" w14:textId="77931CB6" w:rsidR="006178A1" w:rsidRDefault="006178A1" w:rsidP="003A0A3E">
      <w:pPr>
        <w:widowControl/>
        <w:autoSpaceDE/>
        <w:autoSpaceDN/>
        <w:contextualSpacing/>
      </w:pPr>
    </w:p>
    <w:p w14:paraId="61C15937" w14:textId="518890C9" w:rsidR="006178A1" w:rsidRDefault="006178A1" w:rsidP="003A0A3E">
      <w:pPr>
        <w:widowControl/>
        <w:autoSpaceDE/>
        <w:autoSpaceDN/>
        <w:contextualSpacing/>
      </w:pPr>
    </w:p>
    <w:p w14:paraId="7F2747E2" w14:textId="20FD9347" w:rsidR="006178A1" w:rsidRDefault="006178A1" w:rsidP="003A0A3E">
      <w:pPr>
        <w:widowControl/>
        <w:autoSpaceDE/>
        <w:autoSpaceDN/>
        <w:contextualSpacing/>
      </w:pPr>
    </w:p>
    <w:p w14:paraId="3B07CD1B" w14:textId="35545522" w:rsidR="006178A1" w:rsidRDefault="006178A1" w:rsidP="003A0A3E">
      <w:pPr>
        <w:widowControl/>
        <w:autoSpaceDE/>
        <w:autoSpaceDN/>
        <w:contextualSpacing/>
      </w:pPr>
    </w:p>
    <w:p w14:paraId="7F52C866" w14:textId="40A5A7F4" w:rsidR="006178A1" w:rsidRDefault="006178A1" w:rsidP="003A0A3E">
      <w:pPr>
        <w:widowControl/>
        <w:autoSpaceDE/>
        <w:autoSpaceDN/>
        <w:contextualSpacing/>
      </w:pPr>
      <w:r w:rsidRPr="006178A1">
        <w:rPr>
          <w:noProof/>
        </w:rPr>
        <w:drawing>
          <wp:anchor distT="0" distB="0" distL="114300" distR="114300" simplePos="0" relativeHeight="487589888" behindDoc="1" locked="0" layoutInCell="1" allowOverlap="1" wp14:anchorId="5E34218B" wp14:editId="2E2911BC">
            <wp:simplePos x="0" y="0"/>
            <wp:positionH relativeFrom="margin">
              <wp:align>center</wp:align>
            </wp:positionH>
            <wp:positionV relativeFrom="paragraph">
              <wp:posOffset>158571</wp:posOffset>
            </wp:positionV>
            <wp:extent cx="4724809" cy="2872989"/>
            <wp:effectExtent l="152400" t="152400" r="361950" b="3657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2872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2BAFB3D" w14:textId="0E53D1D6" w:rsidR="006178A1" w:rsidRDefault="006178A1" w:rsidP="003A0A3E">
      <w:pPr>
        <w:widowControl/>
        <w:autoSpaceDE/>
        <w:autoSpaceDN/>
        <w:contextualSpacing/>
      </w:pPr>
    </w:p>
    <w:p w14:paraId="0D12EEC6" w14:textId="77777777" w:rsidR="003A0A3E" w:rsidRDefault="003A0A3E" w:rsidP="003A0A3E">
      <w:pPr>
        <w:widowControl/>
        <w:autoSpaceDE/>
        <w:autoSpaceDN/>
        <w:contextualSpacing/>
      </w:pPr>
    </w:p>
    <w:p w14:paraId="73ABD3CB" w14:textId="77777777" w:rsidR="006178A1" w:rsidRDefault="006178A1" w:rsidP="006178A1">
      <w:pPr>
        <w:widowControl/>
        <w:autoSpaceDE/>
        <w:autoSpaceDN/>
        <w:contextualSpacing/>
      </w:pPr>
    </w:p>
    <w:p w14:paraId="06B0D8C8" w14:textId="77777777" w:rsidR="006178A1" w:rsidRDefault="006178A1" w:rsidP="006178A1">
      <w:pPr>
        <w:widowControl/>
        <w:autoSpaceDE/>
        <w:autoSpaceDN/>
        <w:contextualSpacing/>
      </w:pPr>
    </w:p>
    <w:p w14:paraId="49128B03" w14:textId="77777777" w:rsidR="006178A1" w:rsidRDefault="006178A1" w:rsidP="006178A1">
      <w:pPr>
        <w:widowControl/>
        <w:autoSpaceDE/>
        <w:autoSpaceDN/>
        <w:contextualSpacing/>
      </w:pPr>
    </w:p>
    <w:p w14:paraId="2E9D8E12" w14:textId="77777777" w:rsidR="006178A1" w:rsidRDefault="006178A1" w:rsidP="006178A1">
      <w:pPr>
        <w:widowControl/>
        <w:autoSpaceDE/>
        <w:autoSpaceDN/>
        <w:contextualSpacing/>
      </w:pPr>
    </w:p>
    <w:p w14:paraId="1CDFCBBB" w14:textId="77777777" w:rsidR="006178A1" w:rsidRDefault="006178A1" w:rsidP="006178A1">
      <w:pPr>
        <w:widowControl/>
        <w:autoSpaceDE/>
        <w:autoSpaceDN/>
        <w:contextualSpacing/>
      </w:pPr>
    </w:p>
    <w:p w14:paraId="6009CDC3" w14:textId="77777777" w:rsidR="006178A1" w:rsidRDefault="006178A1" w:rsidP="006178A1">
      <w:pPr>
        <w:widowControl/>
        <w:autoSpaceDE/>
        <w:autoSpaceDN/>
        <w:contextualSpacing/>
      </w:pPr>
    </w:p>
    <w:p w14:paraId="4F31E35D" w14:textId="77777777" w:rsidR="006178A1" w:rsidRDefault="006178A1" w:rsidP="006178A1">
      <w:pPr>
        <w:widowControl/>
        <w:autoSpaceDE/>
        <w:autoSpaceDN/>
        <w:contextualSpacing/>
      </w:pPr>
    </w:p>
    <w:p w14:paraId="50B3E68D" w14:textId="77777777" w:rsidR="006178A1" w:rsidRDefault="006178A1" w:rsidP="006178A1">
      <w:pPr>
        <w:widowControl/>
        <w:autoSpaceDE/>
        <w:autoSpaceDN/>
        <w:contextualSpacing/>
      </w:pPr>
    </w:p>
    <w:p w14:paraId="4A01B91F" w14:textId="77777777" w:rsidR="006178A1" w:rsidRDefault="006178A1" w:rsidP="006178A1">
      <w:pPr>
        <w:widowControl/>
        <w:autoSpaceDE/>
        <w:autoSpaceDN/>
        <w:contextualSpacing/>
      </w:pPr>
    </w:p>
    <w:p w14:paraId="72548E2F" w14:textId="77777777" w:rsidR="006178A1" w:rsidRDefault="006178A1" w:rsidP="006178A1">
      <w:pPr>
        <w:widowControl/>
        <w:autoSpaceDE/>
        <w:autoSpaceDN/>
        <w:contextualSpacing/>
      </w:pPr>
    </w:p>
    <w:p w14:paraId="09E56477" w14:textId="77777777" w:rsidR="006178A1" w:rsidRDefault="006178A1" w:rsidP="006178A1">
      <w:pPr>
        <w:widowControl/>
        <w:autoSpaceDE/>
        <w:autoSpaceDN/>
        <w:contextualSpacing/>
      </w:pPr>
    </w:p>
    <w:p w14:paraId="3745559C" w14:textId="77777777" w:rsidR="006178A1" w:rsidRDefault="006178A1" w:rsidP="006178A1">
      <w:pPr>
        <w:widowControl/>
        <w:autoSpaceDE/>
        <w:autoSpaceDN/>
        <w:contextualSpacing/>
      </w:pPr>
    </w:p>
    <w:p w14:paraId="58865D38" w14:textId="77777777" w:rsidR="006178A1" w:rsidRDefault="006178A1" w:rsidP="006178A1">
      <w:pPr>
        <w:widowControl/>
        <w:autoSpaceDE/>
        <w:autoSpaceDN/>
        <w:contextualSpacing/>
      </w:pPr>
    </w:p>
    <w:p w14:paraId="2F0234F0" w14:textId="77777777" w:rsidR="006178A1" w:rsidRDefault="006178A1" w:rsidP="006178A1">
      <w:pPr>
        <w:widowControl/>
        <w:autoSpaceDE/>
        <w:autoSpaceDN/>
        <w:contextualSpacing/>
      </w:pPr>
    </w:p>
    <w:p w14:paraId="0F9E22D7" w14:textId="77777777" w:rsidR="006178A1" w:rsidRDefault="006178A1" w:rsidP="006178A1">
      <w:pPr>
        <w:widowControl/>
        <w:autoSpaceDE/>
        <w:autoSpaceDN/>
        <w:contextualSpacing/>
      </w:pPr>
    </w:p>
    <w:p w14:paraId="05938E11" w14:textId="77777777" w:rsidR="006178A1" w:rsidRDefault="006178A1" w:rsidP="006178A1">
      <w:pPr>
        <w:widowControl/>
        <w:autoSpaceDE/>
        <w:autoSpaceDN/>
        <w:contextualSpacing/>
      </w:pPr>
    </w:p>
    <w:p w14:paraId="7F99E811" w14:textId="40AB456F" w:rsidR="003A0A3E" w:rsidRDefault="003A0A3E" w:rsidP="006178A1">
      <w:pPr>
        <w:widowControl/>
        <w:autoSpaceDE/>
        <w:autoSpaceDN/>
        <w:contextualSpacing/>
        <w:jc w:val="center"/>
      </w:pPr>
      <w:r w:rsidRPr="00D65A9E">
        <w:t>Artist’s impression of ESA’s ExoMars rove</w:t>
      </w:r>
      <w:r>
        <w:t xml:space="preserve">r on Mars. Credit: ESA/ATG </w:t>
      </w:r>
      <w:proofErr w:type="spellStart"/>
      <w:r>
        <w:t>medialab</w:t>
      </w:r>
      <w:proofErr w:type="spellEnd"/>
    </w:p>
    <w:p w14:paraId="3F41933F" w14:textId="77777777" w:rsidR="007062DD" w:rsidRDefault="007062DD">
      <w:pPr>
        <w:pStyle w:val="BodyText"/>
        <w:rPr>
          <w:sz w:val="20"/>
        </w:rPr>
      </w:pPr>
    </w:p>
    <w:p w14:paraId="51BAAA3B" w14:textId="7B51A290" w:rsidR="007062DD" w:rsidRDefault="007062DD">
      <w:pPr>
        <w:pStyle w:val="BodyText"/>
        <w:spacing w:before="9"/>
        <w:rPr>
          <w:sz w:val="25"/>
        </w:rPr>
      </w:pPr>
    </w:p>
    <w:sectPr w:rsidR="007062DD">
      <w:pgSz w:w="11910" w:h="16840"/>
      <w:pgMar w:top="192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57A"/>
    <w:multiLevelType w:val="hybridMultilevel"/>
    <w:tmpl w:val="A064C41C"/>
    <w:lvl w:ilvl="0" w:tplc="D8F2383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721EA2">
      <w:numFmt w:val="bullet"/>
      <w:lvlText w:val="•"/>
      <w:lvlJc w:val="left"/>
      <w:pPr>
        <w:ind w:left="1007" w:hanging="361"/>
      </w:pPr>
      <w:rPr>
        <w:rFonts w:hint="default"/>
        <w:lang w:val="en-US" w:eastAsia="en-US" w:bidi="ar-SA"/>
      </w:rPr>
    </w:lvl>
    <w:lvl w:ilvl="2" w:tplc="7D4C386E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3" w:tplc="37F4E8FE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4" w:tplc="ECFC38C2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5" w:tplc="CF685796">
      <w:numFmt w:val="bullet"/>
      <w:lvlText w:val="•"/>
      <w:lvlJc w:val="left"/>
      <w:pPr>
        <w:ind w:left="3195" w:hanging="361"/>
      </w:pPr>
      <w:rPr>
        <w:rFonts w:hint="default"/>
        <w:lang w:val="en-US" w:eastAsia="en-US" w:bidi="ar-SA"/>
      </w:rPr>
    </w:lvl>
    <w:lvl w:ilvl="6" w:tplc="853E0A68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7" w:tplc="A4D03FF0">
      <w:numFmt w:val="bullet"/>
      <w:lvlText w:val="•"/>
      <w:lvlJc w:val="left"/>
      <w:pPr>
        <w:ind w:left="4289" w:hanging="361"/>
      </w:pPr>
      <w:rPr>
        <w:rFonts w:hint="default"/>
        <w:lang w:val="en-US" w:eastAsia="en-US" w:bidi="ar-SA"/>
      </w:rPr>
    </w:lvl>
    <w:lvl w:ilvl="8" w:tplc="47702698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53A4ADB"/>
    <w:multiLevelType w:val="hybridMultilevel"/>
    <w:tmpl w:val="EF76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6069"/>
    <w:multiLevelType w:val="hybridMultilevel"/>
    <w:tmpl w:val="DEA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D"/>
    <w:rsid w:val="00026B0C"/>
    <w:rsid w:val="00186E88"/>
    <w:rsid w:val="00395F67"/>
    <w:rsid w:val="003A0A3E"/>
    <w:rsid w:val="00563CE6"/>
    <w:rsid w:val="005F16CA"/>
    <w:rsid w:val="006178A1"/>
    <w:rsid w:val="007062DD"/>
    <w:rsid w:val="0080414A"/>
    <w:rsid w:val="00C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712B"/>
  <w15:docId w15:val="{C589BA38-870E-4662-8E0C-0FB7D9C0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Hyperlink">
    <w:name w:val="Hyperlink"/>
    <w:basedOn w:val="DefaultParagraphFont"/>
    <w:uiPriority w:val="99"/>
    <w:semiHidden/>
    <w:unhideWhenUsed/>
    <w:rsid w:val="00CE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h1@l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Jenny</dc:creator>
  <cp:lastModifiedBy>White, Karen L.</cp:lastModifiedBy>
  <cp:revision>4</cp:revision>
  <dcterms:created xsi:type="dcterms:W3CDTF">2023-11-17T16:20:00Z</dcterms:created>
  <dcterms:modified xsi:type="dcterms:W3CDTF">2023-11-17T16:33:00Z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LTSC</vt:lpwstr>
  </property>
</Properties>
</file>