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5165BB85" w:rsidR="00066C81" w:rsidRPr="00066C81" w:rsidRDefault="00D9587A" w:rsidP="00066C81">
            <w:r>
              <w:rPr>
                <w:rStyle w:val="normaltextrun"/>
                <w:rFonts w:ascii="Arial" w:hAnsi="Arial" w:cs="Arial"/>
                <w:bdr w:val="none" w:sz="0" w:space="0" w:color="auto" w:frame="1"/>
              </w:rPr>
              <w:t>Dr Natalie Garton</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3EDDC1FD" w:rsidR="00066C81" w:rsidRPr="00066C81" w:rsidRDefault="00D9587A" w:rsidP="00066C81">
            <w:r>
              <w:rPr>
                <w:rStyle w:val="normaltextrun"/>
                <w:rFonts w:ascii="Arial" w:hAnsi="Arial" w:cs="Arial"/>
                <w:bdr w:val="none" w:sz="0" w:space="0" w:color="auto" w:frame="1"/>
              </w:rPr>
              <w:t>Dept Respiratory Sciences</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28BF855B" w14:textId="3B07E93D" w:rsidR="003A7DAE" w:rsidRPr="00066C81" w:rsidRDefault="00D9587A" w:rsidP="00066C81">
            <w:r>
              <w:rPr>
                <w:rStyle w:val="normaltextrun"/>
                <w:rFonts w:ascii="Arial" w:hAnsi="Arial" w:cs="Arial"/>
                <w:bdr w:val="none" w:sz="0" w:space="0" w:color="auto" w:frame="1"/>
              </w:rPr>
              <w:t>njg17@le.ac.uk</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1486DB6A" w:rsidR="00066C81" w:rsidRDefault="00D9587A" w:rsidP="00ED69E6">
            <w:r>
              <w:rPr>
                <w:rStyle w:val="normaltextrun"/>
                <w:rFonts w:ascii="Arial" w:hAnsi="Arial" w:cs="Arial"/>
                <w:shd w:val="clear" w:color="auto" w:fill="FFFFFF"/>
              </w:rPr>
              <w:t>Prof Galina Mukamolova</w:t>
            </w:r>
            <w:r>
              <w:rPr>
                <w:rStyle w:val="eop"/>
                <w:rFonts w:ascii="Arial" w:hAnsi="Arial" w:cs="Arial"/>
                <w:shd w:val="clear" w:color="auto" w:fill="FFFFFF"/>
              </w:rPr>
              <w:t> </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6005F668" w:rsidR="00066C81" w:rsidRDefault="00D9587A" w:rsidP="00ED69E6">
            <w:r>
              <w:rPr>
                <w:rStyle w:val="normaltextrun"/>
                <w:rFonts w:ascii="Arial" w:hAnsi="Arial" w:cs="Arial"/>
                <w:bdr w:val="none" w:sz="0" w:space="0" w:color="auto" w:frame="1"/>
              </w:rPr>
              <w:t>Dept Respiratory Sciences</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7419DB66" w:rsidR="003A7DAE" w:rsidRDefault="00D9587A" w:rsidP="00ED69E6">
            <w:r>
              <w:rPr>
                <w:rStyle w:val="normaltextrun"/>
                <w:rFonts w:ascii="Arial" w:hAnsi="Arial" w:cs="Arial"/>
                <w:bdr w:val="none" w:sz="0" w:space="0" w:color="auto" w:frame="1"/>
              </w:rPr>
              <w:t>gvm4@le.ac.uk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411621C1" w:rsidR="00066C81" w:rsidRDefault="00D9587A" w:rsidP="00ED69E6">
            <w:r>
              <w:rPr>
                <w:rStyle w:val="normaltextrun"/>
                <w:rFonts w:ascii="Arial" w:hAnsi="Arial" w:cs="Arial"/>
                <w:shd w:val="clear" w:color="auto" w:fill="FFFFFF"/>
              </w:rPr>
              <w:t>Understanding the roles of triacylglycerol in modulating mycobacterial growth and biophysical properties</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683B7F0F" w14:textId="77777777" w:rsidR="00D9587A" w:rsidRDefault="00D9587A" w:rsidP="00D95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Mycobacteria contain more lipid than any other bacteria. In addition to a characteristically lipid-rich cell envelope, mycobacteria can accumulate triacylglycerol (TAG) as cytoplasmic lipid bodies (LBs). Accumulated prokaryotic TAG represents a reserve of carbon and energy which can be drawn upon to support continued metabolism and growth.  In the host, in response to growth limiting factors such as hypoxia and </w:t>
            </w:r>
            <w:proofErr w:type="spellStart"/>
            <w:r>
              <w:rPr>
                <w:rStyle w:val="normaltextrun"/>
                <w:rFonts w:ascii="Arial" w:hAnsi="Arial" w:cs="Arial"/>
                <w:sz w:val="22"/>
                <w:szCs w:val="22"/>
              </w:rPr>
              <w:t>nitrosative</w:t>
            </w:r>
            <w:proofErr w:type="spellEnd"/>
            <w:r>
              <w:rPr>
                <w:rStyle w:val="normaltextrun"/>
                <w:rFonts w:ascii="Arial" w:hAnsi="Arial" w:cs="Arial"/>
                <w:sz w:val="22"/>
                <w:szCs w:val="22"/>
              </w:rPr>
              <w:t xml:space="preserve"> stress, </w:t>
            </w:r>
            <w:r>
              <w:rPr>
                <w:rStyle w:val="normaltextrun"/>
                <w:rFonts w:ascii="Arial" w:hAnsi="Arial" w:cs="Arial"/>
                <w:i/>
                <w:iCs/>
                <w:sz w:val="22"/>
                <w:szCs w:val="22"/>
              </w:rPr>
              <w:t xml:space="preserve">M. tuberculosis </w:t>
            </w:r>
            <w:r>
              <w:rPr>
                <w:rStyle w:val="normaltextrun"/>
                <w:rFonts w:ascii="Arial" w:hAnsi="Arial" w:cs="Arial"/>
                <w:sz w:val="22"/>
                <w:szCs w:val="22"/>
              </w:rPr>
              <w:t>(</w:t>
            </w:r>
            <w:proofErr w:type="spellStart"/>
            <w:r>
              <w:rPr>
                <w:rStyle w:val="normaltextrun"/>
                <w:rFonts w:ascii="Arial" w:hAnsi="Arial" w:cs="Arial"/>
                <w:sz w:val="22"/>
                <w:szCs w:val="22"/>
              </w:rPr>
              <w:t>Mtb</w:t>
            </w:r>
            <w:proofErr w:type="spellEnd"/>
            <w:r>
              <w:rPr>
                <w:rStyle w:val="normaltextrun"/>
                <w:rFonts w:ascii="Arial" w:hAnsi="Arial" w:cs="Arial"/>
                <w:sz w:val="22"/>
                <w:szCs w:val="22"/>
              </w:rPr>
              <w:t xml:space="preserve">), the agent of tuberculosis (TB), can enter a state of low metabolic activity leading to growth arrest, and sub-populations of differentially culturable bacteria (DCB). DCB cannot be cultured using standard techniques and require addition of culture supernatant. These populations have important impact on TB treatment as they are tolerant to the action of front-line antimicrobials. In TB patient sputum, sub-populations of </w:t>
            </w:r>
            <w:r>
              <w:rPr>
                <w:rStyle w:val="normaltextrun"/>
                <w:rFonts w:ascii="Arial" w:hAnsi="Arial" w:cs="Arial"/>
                <w:i/>
                <w:iCs/>
                <w:sz w:val="22"/>
                <w:szCs w:val="22"/>
              </w:rPr>
              <w:t>M. tuberculosis</w:t>
            </w:r>
            <w:r>
              <w:rPr>
                <w:rStyle w:val="normaltextrun"/>
                <w:rFonts w:ascii="Arial" w:hAnsi="Arial" w:cs="Arial"/>
                <w:sz w:val="22"/>
                <w:szCs w:val="22"/>
              </w:rPr>
              <w:t xml:space="preserve"> containing TAG-LBs revealed during therapy have been associated with treatment failure, or relapse.</w:t>
            </w:r>
            <w:r>
              <w:rPr>
                <w:rStyle w:val="eop"/>
                <w:rFonts w:ascii="Arial" w:hAnsi="Arial" w:cs="Arial"/>
                <w:sz w:val="22"/>
                <w:szCs w:val="22"/>
              </w:rPr>
              <w:t> </w:t>
            </w:r>
          </w:p>
          <w:p w14:paraId="4D865EAE" w14:textId="77777777" w:rsidR="00D9587A" w:rsidRDefault="00D9587A" w:rsidP="00D95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In vitro</w:t>
            </w:r>
            <w:r>
              <w:rPr>
                <w:rStyle w:val="normaltextrun"/>
                <w:rFonts w:ascii="Arial" w:hAnsi="Arial" w:cs="Arial"/>
                <w:sz w:val="22"/>
                <w:szCs w:val="22"/>
              </w:rPr>
              <w:t xml:space="preserve">, such growth arrest coincides with induction of TAG synthase, </w:t>
            </w:r>
            <w:r>
              <w:rPr>
                <w:rStyle w:val="normaltextrun"/>
                <w:rFonts w:ascii="Arial" w:hAnsi="Arial" w:cs="Arial"/>
                <w:i/>
                <w:iCs/>
                <w:sz w:val="22"/>
                <w:szCs w:val="22"/>
              </w:rPr>
              <w:t>tgs1</w:t>
            </w:r>
            <w:r>
              <w:rPr>
                <w:rStyle w:val="normaltextrun"/>
                <w:rFonts w:ascii="Arial" w:hAnsi="Arial" w:cs="Arial"/>
                <w:sz w:val="22"/>
                <w:szCs w:val="22"/>
              </w:rPr>
              <w:t xml:space="preserve">, and accumulation of TAG </w:t>
            </w:r>
            <w:proofErr w:type="spellStart"/>
            <w:r>
              <w:rPr>
                <w:rStyle w:val="normaltextrun"/>
                <w:rFonts w:ascii="Arial" w:hAnsi="Arial" w:cs="Arial"/>
                <w:sz w:val="22"/>
                <w:szCs w:val="22"/>
              </w:rPr>
              <w:t>LBs.</w:t>
            </w:r>
            <w:proofErr w:type="spellEnd"/>
            <w:r>
              <w:rPr>
                <w:rStyle w:val="normaltextrun"/>
                <w:rFonts w:ascii="Arial" w:hAnsi="Arial" w:cs="Arial"/>
                <w:sz w:val="22"/>
                <w:szCs w:val="22"/>
              </w:rPr>
              <w:t xml:space="preserve"> When conditions change, accumulated TAG is assimilated with release of fatty acids to support regrowth. Studies of the strain </w:t>
            </w:r>
            <w:proofErr w:type="spellStart"/>
            <w:r>
              <w:rPr>
                <w:rStyle w:val="normaltextrun"/>
                <w:rFonts w:ascii="Arial" w:hAnsi="Arial" w:cs="Arial"/>
                <w:sz w:val="22"/>
                <w:szCs w:val="22"/>
              </w:rPr>
              <w:t>Mtb</w:t>
            </w:r>
            <w:proofErr w:type="spellEnd"/>
            <w:r>
              <w:rPr>
                <w:rStyle w:val="normaltextrun"/>
                <w:rFonts w:ascii="Arial" w:hAnsi="Arial" w:cs="Arial"/>
                <w:sz w:val="22"/>
                <w:szCs w:val="22"/>
              </w:rPr>
              <w:t xml:space="preserve"> H37Rv, that contains very little TAG during growth, supported the hypothesis that induction of </w:t>
            </w:r>
            <w:r>
              <w:rPr>
                <w:rStyle w:val="normaltextrun"/>
                <w:rFonts w:ascii="Arial" w:hAnsi="Arial" w:cs="Arial"/>
                <w:i/>
                <w:iCs/>
                <w:sz w:val="22"/>
                <w:szCs w:val="22"/>
              </w:rPr>
              <w:t>tgs1</w:t>
            </w:r>
            <w:r>
              <w:rPr>
                <w:rStyle w:val="normaltextrun"/>
                <w:rFonts w:ascii="Arial" w:hAnsi="Arial" w:cs="Arial"/>
                <w:sz w:val="22"/>
                <w:szCs w:val="22"/>
              </w:rPr>
              <w:t xml:space="preserve"> and biosynthesis of TAG reduces carbon flux through the tricarboxylic acid cycle, resulting in growth arrest. However, we have observed more recently isolated strains of </w:t>
            </w:r>
            <w:r>
              <w:rPr>
                <w:rStyle w:val="normaltextrun"/>
                <w:rFonts w:ascii="Arial" w:hAnsi="Arial" w:cs="Arial"/>
                <w:i/>
                <w:iCs/>
                <w:sz w:val="22"/>
                <w:szCs w:val="22"/>
              </w:rPr>
              <w:t>M. tuberculosis</w:t>
            </w:r>
            <w:r>
              <w:rPr>
                <w:rStyle w:val="normaltextrun"/>
                <w:rFonts w:ascii="Arial" w:hAnsi="Arial" w:cs="Arial"/>
                <w:sz w:val="22"/>
                <w:szCs w:val="22"/>
              </w:rPr>
              <w:t xml:space="preserve"> to possess variable </w:t>
            </w:r>
            <w:r>
              <w:rPr>
                <w:rStyle w:val="normaltextrun"/>
                <w:rFonts w:ascii="Arial" w:hAnsi="Arial" w:cs="Arial"/>
                <w:i/>
                <w:iCs/>
                <w:sz w:val="22"/>
                <w:szCs w:val="22"/>
              </w:rPr>
              <w:t>tgs1</w:t>
            </w:r>
            <w:r>
              <w:rPr>
                <w:rStyle w:val="normaltextrun"/>
                <w:rFonts w:ascii="Arial" w:hAnsi="Arial" w:cs="Arial"/>
                <w:sz w:val="22"/>
                <w:szCs w:val="22"/>
              </w:rPr>
              <w:t xml:space="preserve"> expression and TAG LB content during growth. In addition</w:t>
            </w:r>
            <w:r>
              <w:rPr>
                <w:rStyle w:val="normaltextrun"/>
                <w:rFonts w:ascii="Arial" w:hAnsi="Arial" w:cs="Arial"/>
                <w:i/>
                <w:iCs/>
                <w:sz w:val="22"/>
                <w:szCs w:val="22"/>
              </w:rPr>
              <w:t>, Mycobacterium smegmatis</w:t>
            </w:r>
            <w:r>
              <w:rPr>
                <w:rStyle w:val="normaltextrun"/>
                <w:rFonts w:ascii="Arial" w:hAnsi="Arial" w:cs="Arial"/>
                <w:sz w:val="22"/>
                <w:szCs w:val="22"/>
              </w:rPr>
              <w:t xml:space="preserve">, a rapidly growing non-pathogenic species, contains TAG LBs during growth. It is not known if TAG LB accumulation in growth represents a reduced capacity to respond to growth arresting stimuli </w:t>
            </w:r>
            <w:proofErr w:type="gramStart"/>
            <w:r>
              <w:rPr>
                <w:rStyle w:val="normaltextrun"/>
                <w:rFonts w:ascii="Arial" w:hAnsi="Arial" w:cs="Arial"/>
                <w:i/>
                <w:iCs/>
                <w:sz w:val="22"/>
                <w:szCs w:val="22"/>
              </w:rPr>
              <w:t>e.g.</w:t>
            </w:r>
            <w:proofErr w:type="gramEnd"/>
            <w:r>
              <w:rPr>
                <w:rStyle w:val="normaltextrun"/>
                <w:rFonts w:ascii="Arial" w:hAnsi="Arial" w:cs="Arial"/>
                <w:sz w:val="22"/>
                <w:szCs w:val="22"/>
              </w:rPr>
              <w:t xml:space="preserve"> hypoxia or </w:t>
            </w:r>
            <w:proofErr w:type="spellStart"/>
            <w:r>
              <w:rPr>
                <w:rStyle w:val="normaltextrun"/>
                <w:rFonts w:ascii="Arial" w:hAnsi="Arial" w:cs="Arial"/>
                <w:sz w:val="22"/>
                <w:szCs w:val="22"/>
              </w:rPr>
              <w:t>nitrosative</w:t>
            </w:r>
            <w:proofErr w:type="spellEnd"/>
            <w:r>
              <w:rPr>
                <w:rStyle w:val="normaltextrun"/>
                <w:rFonts w:ascii="Arial" w:hAnsi="Arial" w:cs="Arial"/>
                <w:sz w:val="22"/>
                <w:szCs w:val="22"/>
              </w:rPr>
              <w:t xml:space="preserve"> agents, impacts potential recovery of growth following relief of these stresses, or the detection of DCB.</w:t>
            </w:r>
            <w:r>
              <w:rPr>
                <w:rStyle w:val="eop"/>
                <w:rFonts w:ascii="Arial" w:hAnsi="Arial" w:cs="Arial"/>
                <w:sz w:val="22"/>
                <w:szCs w:val="22"/>
              </w:rPr>
              <w:t> </w:t>
            </w:r>
          </w:p>
          <w:p w14:paraId="36EB1932" w14:textId="77777777" w:rsidR="00D9587A" w:rsidRDefault="00D9587A" w:rsidP="00D95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TAG is also a component of the mycobacterial cell envelope. A TAG transport system has been identified and TAG transport from the cytoplasm has been proposed as a means of modulating growth by regulating TAG LB accumulation. The lipid composition of the cell envelope impacts cell surface hydrophobicity that will influence interactions of mycobacteria with their environment. Such interactions may alter the propensity of mycobacteria to enter aerosols, impacting airborne transmission of disease, or mediate the initial interactions with host cells that would influence pathogenic potential.  The relative proportions of cytoplasmic TAG and TAG in the cell envelope are not understood and may differ between species, strains, culture conditions and growth states. It has been observed that </w:t>
            </w:r>
            <w:r>
              <w:rPr>
                <w:rStyle w:val="normaltextrun"/>
                <w:rFonts w:ascii="Arial" w:hAnsi="Arial" w:cs="Arial"/>
                <w:i/>
                <w:iCs/>
                <w:sz w:val="22"/>
                <w:szCs w:val="22"/>
              </w:rPr>
              <w:t xml:space="preserve">Mycobacterium </w:t>
            </w:r>
            <w:proofErr w:type="spellStart"/>
            <w:r>
              <w:rPr>
                <w:rStyle w:val="normaltextrun"/>
                <w:rFonts w:ascii="Arial" w:hAnsi="Arial" w:cs="Arial"/>
                <w:i/>
                <w:iCs/>
                <w:sz w:val="22"/>
                <w:szCs w:val="22"/>
              </w:rPr>
              <w:t>abscessus</w:t>
            </w:r>
            <w:proofErr w:type="spellEnd"/>
            <w:r>
              <w:rPr>
                <w:rStyle w:val="normaltextrun"/>
                <w:rFonts w:ascii="Arial" w:hAnsi="Arial" w:cs="Arial"/>
                <w:sz w:val="22"/>
                <w:szCs w:val="22"/>
              </w:rPr>
              <w:t xml:space="preserve"> can increase TAG synthesis without accumulation of TAG LBs, suggesting that there is a significant capacity for cell envelope TAG accumulation.</w:t>
            </w:r>
            <w:r>
              <w:rPr>
                <w:rStyle w:val="eop"/>
                <w:rFonts w:ascii="Arial" w:hAnsi="Arial" w:cs="Arial"/>
                <w:sz w:val="22"/>
                <w:szCs w:val="22"/>
              </w:rPr>
              <w:t> </w:t>
            </w:r>
          </w:p>
          <w:p w14:paraId="743260C9" w14:textId="77777777" w:rsidR="00D9587A" w:rsidRDefault="00D9587A" w:rsidP="00D95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The aim of this project is to understand the roles of TAG in influencing mycobacterial growth and biophysical properties. Research will be undertaken with different species, strains and mutants in key genes involved in TAG synthesis, assimilation and transport. Specific objectives include:</w:t>
            </w:r>
            <w:r>
              <w:rPr>
                <w:rStyle w:val="eop"/>
                <w:rFonts w:ascii="Arial" w:hAnsi="Arial" w:cs="Arial"/>
                <w:sz w:val="22"/>
                <w:szCs w:val="22"/>
              </w:rPr>
              <w:t> </w:t>
            </w:r>
          </w:p>
          <w:p w14:paraId="4BB8061D" w14:textId="77777777" w:rsidR="00D9587A" w:rsidRDefault="00D9587A" w:rsidP="00D95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To determine whether cytoplasmic TAG content impacts response to growth arresting stimuli and regrowth thereafter.</w:t>
            </w:r>
            <w:r>
              <w:rPr>
                <w:rStyle w:val="eop"/>
                <w:rFonts w:ascii="Arial" w:hAnsi="Arial" w:cs="Arial"/>
                <w:sz w:val="22"/>
                <w:szCs w:val="22"/>
              </w:rPr>
              <w:t> </w:t>
            </w:r>
          </w:p>
          <w:p w14:paraId="6DCF738E" w14:textId="77777777" w:rsidR="00D9587A" w:rsidRDefault="00D9587A" w:rsidP="00D95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To determine whether during growth, TAG LBs </w:t>
            </w:r>
            <w:proofErr w:type="gramStart"/>
            <w:r>
              <w:rPr>
                <w:rStyle w:val="normaltextrun"/>
                <w:rFonts w:ascii="Arial" w:hAnsi="Arial" w:cs="Arial"/>
                <w:sz w:val="22"/>
                <w:szCs w:val="22"/>
              </w:rPr>
              <w:t>represent  a</w:t>
            </w:r>
            <w:proofErr w:type="gramEnd"/>
            <w:r>
              <w:rPr>
                <w:rStyle w:val="normaltextrun"/>
                <w:rFonts w:ascii="Arial" w:hAnsi="Arial" w:cs="Arial"/>
                <w:sz w:val="22"/>
                <w:szCs w:val="22"/>
              </w:rPr>
              <w:t xml:space="preserve"> dynamic metabolic pool continuously being turned over, by measuring flux of fatty acids through various lipid fractions.</w:t>
            </w:r>
            <w:r>
              <w:rPr>
                <w:rStyle w:val="eop"/>
                <w:rFonts w:ascii="Arial" w:hAnsi="Arial" w:cs="Arial"/>
                <w:sz w:val="22"/>
                <w:szCs w:val="22"/>
              </w:rPr>
              <w:t> </w:t>
            </w:r>
          </w:p>
          <w:p w14:paraId="4A90F370" w14:textId="77777777" w:rsidR="00D9587A" w:rsidRDefault="00D9587A" w:rsidP="00D95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To measure the relative proportions of cytoplasmic and cell envelope TAG and associated biophysical properties of cells such as cell surface hydrophobicity and buoyancy.</w:t>
            </w:r>
            <w:r>
              <w:rPr>
                <w:rStyle w:val="eop"/>
                <w:rFonts w:ascii="Arial" w:hAnsi="Arial" w:cs="Arial"/>
                <w:sz w:val="22"/>
                <w:szCs w:val="22"/>
              </w:rPr>
              <w:t> </w:t>
            </w:r>
          </w:p>
          <w:p w14:paraId="328179BD" w14:textId="77777777" w:rsidR="00066C81" w:rsidRDefault="00066C81" w:rsidP="00ED69E6">
            <w:pPr>
              <w:rPr>
                <w:b/>
              </w:rPr>
            </w:pPr>
          </w:p>
          <w:p w14:paraId="2C281E47" w14:textId="09015539" w:rsidR="00066C81" w:rsidRDefault="009976DD" w:rsidP="00ED69E6">
            <w:pPr>
              <w:rPr>
                <w:b/>
              </w:rPr>
            </w:pPr>
            <w:r>
              <w:rPr>
                <w:rStyle w:val="normaltextrun"/>
                <w:rFonts w:ascii="Arial" w:hAnsi="Arial" w:cs="Arial"/>
                <w:shd w:val="clear" w:color="auto" w:fill="FFFFFF"/>
              </w:rPr>
              <w:t>T</w:t>
            </w:r>
            <w:r w:rsidR="00D9587A">
              <w:rPr>
                <w:rStyle w:val="normaltextrun"/>
                <w:rFonts w:ascii="Arial" w:hAnsi="Arial" w:cs="Arial"/>
                <w:shd w:val="clear" w:color="auto" w:fill="FFFFFF"/>
              </w:rPr>
              <w:t>echniques that will be undertaken during the project</w:t>
            </w:r>
          </w:p>
          <w:p w14:paraId="0AE81666" w14:textId="77777777" w:rsidR="00D9587A" w:rsidRDefault="00D9587A" w:rsidP="00D9587A">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Actinobacteria culture and growth assays in defined conditions</w:t>
            </w:r>
            <w:r>
              <w:rPr>
                <w:rStyle w:val="eop"/>
                <w:rFonts w:ascii="Arial" w:hAnsi="Arial" w:cs="Arial"/>
                <w:sz w:val="22"/>
                <w:szCs w:val="22"/>
              </w:rPr>
              <w:t> </w:t>
            </w:r>
          </w:p>
          <w:p w14:paraId="04AFF943" w14:textId="77777777" w:rsidR="00D9587A" w:rsidRDefault="00D9587A" w:rsidP="00D95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Genetic modification of Actinobacteria.</w:t>
            </w:r>
            <w:r>
              <w:rPr>
                <w:rStyle w:val="eop"/>
                <w:rFonts w:ascii="Arial" w:hAnsi="Arial" w:cs="Arial"/>
                <w:sz w:val="22"/>
                <w:szCs w:val="22"/>
              </w:rPr>
              <w:t> </w:t>
            </w:r>
          </w:p>
          <w:p w14:paraId="6DFA2746" w14:textId="77777777" w:rsidR="00D9587A" w:rsidRDefault="00D9587A" w:rsidP="00D9587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Lipid analytical methods to include, chemical extraction, thin layer chromatography, mass spectrometry, </w:t>
            </w:r>
            <w:proofErr w:type="spellStart"/>
            <w:r>
              <w:rPr>
                <w:rStyle w:val="normaltextrun"/>
                <w:rFonts w:ascii="Arial" w:hAnsi="Arial" w:cs="Arial"/>
                <w:sz w:val="22"/>
                <w:szCs w:val="22"/>
              </w:rPr>
              <w:t>radioisotopic</w:t>
            </w:r>
            <w:proofErr w:type="spellEnd"/>
            <w:r>
              <w:rPr>
                <w:rStyle w:val="normaltextrun"/>
                <w:rFonts w:ascii="Arial" w:hAnsi="Arial" w:cs="Arial"/>
                <w:sz w:val="22"/>
                <w:szCs w:val="22"/>
              </w:rPr>
              <w:t xml:space="preserve"> labelling, fluorimetry and cytological analyses using fluorescence microscopy and transmission electron microscopy.</w:t>
            </w:r>
            <w:r>
              <w:rPr>
                <w:rStyle w:val="eop"/>
                <w:rFonts w:ascii="Arial" w:hAnsi="Arial" w:cs="Arial"/>
                <w:sz w:val="22"/>
                <w:szCs w:val="22"/>
              </w:rPr>
              <w:t> </w:t>
            </w:r>
          </w:p>
          <w:p w14:paraId="4EF0C661" w14:textId="7D5E5372" w:rsidR="003A7DAE" w:rsidRDefault="00D9587A" w:rsidP="00ED69E6">
            <w:pPr>
              <w:rPr>
                <w:b/>
              </w:rPr>
            </w:pPr>
            <w:r>
              <w:rPr>
                <w:rStyle w:val="normaltextrun"/>
                <w:rFonts w:ascii="Arial" w:hAnsi="Arial" w:cs="Arial"/>
                <w:shd w:val="clear" w:color="auto" w:fill="FFFFFF"/>
              </w:rPr>
              <w:t>Enzyme assays</w:t>
            </w:r>
            <w:r>
              <w:rPr>
                <w:rStyle w:val="eop"/>
                <w:rFonts w:ascii="Arial" w:hAnsi="Arial" w:cs="Arial"/>
                <w:shd w:val="clear" w:color="auto" w:fill="FFFFFF"/>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3B003796" w14:textId="77777777" w:rsidR="00D9587A" w:rsidRDefault="00D9587A" w:rsidP="00D9587A">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22"/>
                <w:szCs w:val="22"/>
              </w:rPr>
              <w:t>Baek</w:t>
            </w:r>
            <w:proofErr w:type="spellEnd"/>
            <w:r>
              <w:rPr>
                <w:rStyle w:val="normaltextrun"/>
                <w:rFonts w:ascii="Arial" w:hAnsi="Arial" w:cs="Arial"/>
                <w:sz w:val="22"/>
                <w:szCs w:val="22"/>
              </w:rPr>
              <w:t xml:space="preserve">, S. </w:t>
            </w:r>
            <w:r>
              <w:rPr>
                <w:rStyle w:val="normaltextrun"/>
                <w:rFonts w:ascii="Arial" w:hAnsi="Arial" w:cs="Arial"/>
                <w:i/>
                <w:iCs/>
                <w:sz w:val="22"/>
                <w:szCs w:val="22"/>
              </w:rPr>
              <w:t>et al</w:t>
            </w:r>
            <w:r>
              <w:rPr>
                <w:rStyle w:val="normaltextrun"/>
                <w:rFonts w:ascii="Arial" w:hAnsi="Arial" w:cs="Arial"/>
                <w:sz w:val="22"/>
                <w:szCs w:val="22"/>
              </w:rPr>
              <w:t xml:space="preserve">. (2011) ‘Metabolic Regulation of Mycobacterial Growth and Antibiotic Sensitivity’, </w:t>
            </w:r>
            <w:proofErr w:type="spellStart"/>
            <w:r>
              <w:rPr>
                <w:rStyle w:val="normaltextrun"/>
                <w:rFonts w:ascii="Arial" w:hAnsi="Arial" w:cs="Arial"/>
                <w:sz w:val="22"/>
                <w:szCs w:val="22"/>
              </w:rPr>
              <w:t>PLoS</w:t>
            </w:r>
            <w:proofErr w:type="spellEnd"/>
            <w:r>
              <w:rPr>
                <w:rStyle w:val="normaltextrun"/>
                <w:rFonts w:ascii="Arial" w:hAnsi="Arial" w:cs="Arial"/>
                <w:sz w:val="22"/>
                <w:szCs w:val="22"/>
              </w:rPr>
              <w:t xml:space="preserve"> Biology, 9, e1001065.</w:t>
            </w:r>
            <w:r>
              <w:rPr>
                <w:rStyle w:val="eop"/>
                <w:rFonts w:ascii="Arial" w:hAnsi="Arial" w:cs="Arial"/>
                <w:sz w:val="22"/>
                <w:szCs w:val="22"/>
              </w:rPr>
              <w:t> </w:t>
            </w:r>
          </w:p>
          <w:p w14:paraId="12613D5A" w14:textId="77777777" w:rsidR="00D9587A" w:rsidRDefault="00D9587A" w:rsidP="00D9587A">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22"/>
                <w:szCs w:val="22"/>
              </w:rPr>
              <w:t>Martinot</w:t>
            </w:r>
            <w:proofErr w:type="spellEnd"/>
            <w:r>
              <w:rPr>
                <w:rStyle w:val="normaltextrun"/>
                <w:rFonts w:ascii="Arial" w:hAnsi="Arial" w:cs="Arial"/>
                <w:sz w:val="22"/>
                <w:szCs w:val="22"/>
              </w:rPr>
              <w:t xml:space="preserve">, A. </w:t>
            </w:r>
            <w:r>
              <w:rPr>
                <w:rStyle w:val="normaltextrun"/>
                <w:rFonts w:ascii="Arial" w:hAnsi="Arial" w:cs="Arial"/>
                <w:i/>
                <w:iCs/>
                <w:sz w:val="22"/>
                <w:szCs w:val="22"/>
              </w:rPr>
              <w:t>et al</w:t>
            </w:r>
            <w:r>
              <w:rPr>
                <w:rStyle w:val="normaltextrun"/>
                <w:rFonts w:ascii="Arial" w:hAnsi="Arial" w:cs="Arial"/>
                <w:sz w:val="22"/>
                <w:szCs w:val="22"/>
              </w:rPr>
              <w:t xml:space="preserve">. (2016) ‘Mycobacterial Metabolic Syndrome: </w:t>
            </w:r>
            <w:proofErr w:type="spellStart"/>
            <w:r>
              <w:rPr>
                <w:rStyle w:val="normaltextrun"/>
                <w:rFonts w:ascii="Arial" w:hAnsi="Arial" w:cs="Arial"/>
                <w:sz w:val="22"/>
                <w:szCs w:val="22"/>
              </w:rPr>
              <w:t>LprG</w:t>
            </w:r>
            <w:proofErr w:type="spellEnd"/>
            <w:r>
              <w:rPr>
                <w:rStyle w:val="normaltextrun"/>
                <w:rFonts w:ascii="Arial" w:hAnsi="Arial" w:cs="Arial"/>
                <w:sz w:val="22"/>
                <w:szCs w:val="22"/>
              </w:rPr>
              <w:t xml:space="preserve"> and Rv1410c Regulate </w:t>
            </w:r>
            <w:proofErr w:type="spellStart"/>
            <w:r>
              <w:rPr>
                <w:rStyle w:val="normaltextrun"/>
                <w:rFonts w:ascii="Arial" w:hAnsi="Arial" w:cs="Arial"/>
                <w:sz w:val="22"/>
                <w:szCs w:val="22"/>
              </w:rPr>
              <w:t>Triacylglcyeride</w:t>
            </w:r>
            <w:proofErr w:type="spellEnd"/>
            <w:r>
              <w:rPr>
                <w:rStyle w:val="normaltextrun"/>
                <w:rFonts w:ascii="Arial" w:hAnsi="Arial" w:cs="Arial"/>
                <w:sz w:val="22"/>
                <w:szCs w:val="22"/>
              </w:rPr>
              <w:t xml:space="preserve"> Levels, growth rate and Virulence in </w:t>
            </w:r>
            <w:r>
              <w:rPr>
                <w:rStyle w:val="normaltextrun"/>
                <w:rFonts w:ascii="Arial" w:hAnsi="Arial" w:cs="Arial"/>
                <w:i/>
                <w:iCs/>
                <w:sz w:val="22"/>
                <w:szCs w:val="22"/>
              </w:rPr>
              <w:t>Mycobacterium tuberculosi</w:t>
            </w:r>
            <w:r>
              <w:rPr>
                <w:rStyle w:val="normaltextrun"/>
                <w:rFonts w:ascii="Arial" w:hAnsi="Arial" w:cs="Arial"/>
                <w:sz w:val="22"/>
                <w:szCs w:val="22"/>
              </w:rPr>
              <w:t xml:space="preserve">s’, </w:t>
            </w:r>
            <w:proofErr w:type="spellStart"/>
            <w:r>
              <w:rPr>
                <w:rStyle w:val="normaltextrun"/>
                <w:rFonts w:ascii="Arial" w:hAnsi="Arial" w:cs="Arial"/>
                <w:sz w:val="22"/>
                <w:szCs w:val="22"/>
              </w:rPr>
              <w:t>PLoS</w:t>
            </w:r>
            <w:proofErr w:type="spellEnd"/>
            <w:r>
              <w:rPr>
                <w:rStyle w:val="normaltextrun"/>
                <w:rFonts w:ascii="Arial" w:hAnsi="Arial" w:cs="Arial"/>
                <w:sz w:val="22"/>
                <w:szCs w:val="22"/>
              </w:rPr>
              <w:t xml:space="preserve"> Pathogens, 12, e1005351</w:t>
            </w:r>
            <w:r>
              <w:rPr>
                <w:rStyle w:val="eop"/>
                <w:rFonts w:ascii="Arial" w:hAnsi="Arial" w:cs="Arial"/>
                <w:sz w:val="22"/>
                <w:szCs w:val="22"/>
              </w:rPr>
              <w:t> </w:t>
            </w:r>
          </w:p>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79B51C8D" w14:textId="77777777" w:rsidR="00D26857" w:rsidRDefault="00D26857" w:rsidP="00D26857">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34154BDA" w14:textId="77777777" w:rsidR="00D26857" w:rsidRPr="000B2D91" w:rsidRDefault="00D26857" w:rsidP="00D26857">
      <w:pPr>
        <w:rPr>
          <w:b/>
          <w:bCs/>
          <w:sz w:val="24"/>
          <w:szCs w:val="24"/>
        </w:rPr>
      </w:pPr>
      <w:hyperlink r:id="rId4" w:history="1">
        <w:r w:rsidRPr="00F978B2">
          <w:rPr>
            <w:rStyle w:val="Hyperlink"/>
            <w:b/>
            <w:bCs/>
            <w:sz w:val="24"/>
            <w:szCs w:val="24"/>
          </w:rPr>
          <w:t>https://le.ac.uk/study/research-degrees/funded-opportunities/bbsrc-mibtp</w:t>
        </w:r>
      </w:hyperlink>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101E"/>
    <w:rsid w:val="000D3D42"/>
    <w:rsid w:val="003A7DAE"/>
    <w:rsid w:val="009976DD"/>
    <w:rsid w:val="00BB70D0"/>
    <w:rsid w:val="00BD5F21"/>
    <w:rsid w:val="00D26857"/>
    <w:rsid w:val="00D9587A"/>
    <w:rsid w:val="00DF7480"/>
    <w:rsid w:val="00E1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9587A"/>
  </w:style>
  <w:style w:type="character" w:customStyle="1" w:styleId="eop">
    <w:name w:val="eop"/>
    <w:basedOn w:val="DefaultParagraphFont"/>
    <w:rsid w:val="00D9587A"/>
  </w:style>
  <w:style w:type="paragraph" w:customStyle="1" w:styleId="paragraph">
    <w:name w:val="paragraph"/>
    <w:basedOn w:val="Normal"/>
    <w:rsid w:val="00D958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26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0761">
      <w:bodyDiv w:val="1"/>
      <w:marLeft w:val="0"/>
      <w:marRight w:val="0"/>
      <w:marTop w:val="0"/>
      <w:marBottom w:val="0"/>
      <w:divBdr>
        <w:top w:val="none" w:sz="0" w:space="0" w:color="auto"/>
        <w:left w:val="none" w:sz="0" w:space="0" w:color="auto"/>
        <w:bottom w:val="none" w:sz="0" w:space="0" w:color="auto"/>
        <w:right w:val="none" w:sz="0" w:space="0" w:color="auto"/>
      </w:divBdr>
      <w:divsChild>
        <w:div w:id="1662653970">
          <w:marLeft w:val="0"/>
          <w:marRight w:val="0"/>
          <w:marTop w:val="0"/>
          <w:marBottom w:val="0"/>
          <w:divBdr>
            <w:top w:val="none" w:sz="0" w:space="0" w:color="auto"/>
            <w:left w:val="none" w:sz="0" w:space="0" w:color="auto"/>
            <w:bottom w:val="none" w:sz="0" w:space="0" w:color="auto"/>
            <w:right w:val="none" w:sz="0" w:space="0" w:color="auto"/>
          </w:divBdr>
        </w:div>
        <w:div w:id="935788762">
          <w:marLeft w:val="0"/>
          <w:marRight w:val="0"/>
          <w:marTop w:val="0"/>
          <w:marBottom w:val="0"/>
          <w:divBdr>
            <w:top w:val="none" w:sz="0" w:space="0" w:color="auto"/>
            <w:left w:val="none" w:sz="0" w:space="0" w:color="auto"/>
            <w:bottom w:val="none" w:sz="0" w:space="0" w:color="auto"/>
            <w:right w:val="none" w:sz="0" w:space="0" w:color="auto"/>
          </w:divBdr>
        </w:div>
        <w:div w:id="1103499479">
          <w:marLeft w:val="0"/>
          <w:marRight w:val="0"/>
          <w:marTop w:val="0"/>
          <w:marBottom w:val="0"/>
          <w:divBdr>
            <w:top w:val="none" w:sz="0" w:space="0" w:color="auto"/>
            <w:left w:val="none" w:sz="0" w:space="0" w:color="auto"/>
            <w:bottom w:val="none" w:sz="0" w:space="0" w:color="auto"/>
            <w:right w:val="none" w:sz="0" w:space="0" w:color="auto"/>
          </w:divBdr>
        </w:div>
        <w:div w:id="418795154">
          <w:marLeft w:val="0"/>
          <w:marRight w:val="0"/>
          <w:marTop w:val="0"/>
          <w:marBottom w:val="0"/>
          <w:divBdr>
            <w:top w:val="none" w:sz="0" w:space="0" w:color="auto"/>
            <w:left w:val="none" w:sz="0" w:space="0" w:color="auto"/>
            <w:bottom w:val="none" w:sz="0" w:space="0" w:color="auto"/>
            <w:right w:val="none" w:sz="0" w:space="0" w:color="auto"/>
          </w:divBdr>
        </w:div>
        <w:div w:id="1765883987">
          <w:marLeft w:val="0"/>
          <w:marRight w:val="0"/>
          <w:marTop w:val="0"/>
          <w:marBottom w:val="0"/>
          <w:divBdr>
            <w:top w:val="none" w:sz="0" w:space="0" w:color="auto"/>
            <w:left w:val="none" w:sz="0" w:space="0" w:color="auto"/>
            <w:bottom w:val="none" w:sz="0" w:space="0" w:color="auto"/>
            <w:right w:val="none" w:sz="0" w:space="0" w:color="auto"/>
          </w:divBdr>
        </w:div>
        <w:div w:id="1076050779">
          <w:marLeft w:val="0"/>
          <w:marRight w:val="0"/>
          <w:marTop w:val="0"/>
          <w:marBottom w:val="0"/>
          <w:divBdr>
            <w:top w:val="none" w:sz="0" w:space="0" w:color="auto"/>
            <w:left w:val="none" w:sz="0" w:space="0" w:color="auto"/>
            <w:bottom w:val="none" w:sz="0" w:space="0" w:color="auto"/>
            <w:right w:val="none" w:sz="0" w:space="0" w:color="auto"/>
          </w:divBdr>
        </w:div>
        <w:div w:id="657923509">
          <w:marLeft w:val="0"/>
          <w:marRight w:val="0"/>
          <w:marTop w:val="0"/>
          <w:marBottom w:val="0"/>
          <w:divBdr>
            <w:top w:val="none" w:sz="0" w:space="0" w:color="auto"/>
            <w:left w:val="none" w:sz="0" w:space="0" w:color="auto"/>
            <w:bottom w:val="none" w:sz="0" w:space="0" w:color="auto"/>
            <w:right w:val="none" w:sz="0" w:space="0" w:color="auto"/>
          </w:divBdr>
        </w:div>
      </w:divsChild>
    </w:div>
    <w:div w:id="1269235878">
      <w:bodyDiv w:val="1"/>
      <w:marLeft w:val="0"/>
      <w:marRight w:val="0"/>
      <w:marTop w:val="0"/>
      <w:marBottom w:val="0"/>
      <w:divBdr>
        <w:top w:val="none" w:sz="0" w:space="0" w:color="auto"/>
        <w:left w:val="none" w:sz="0" w:space="0" w:color="auto"/>
        <w:bottom w:val="none" w:sz="0" w:space="0" w:color="auto"/>
        <w:right w:val="none" w:sz="0" w:space="0" w:color="auto"/>
      </w:divBdr>
      <w:divsChild>
        <w:div w:id="2129159981">
          <w:marLeft w:val="0"/>
          <w:marRight w:val="0"/>
          <w:marTop w:val="0"/>
          <w:marBottom w:val="0"/>
          <w:divBdr>
            <w:top w:val="none" w:sz="0" w:space="0" w:color="auto"/>
            <w:left w:val="none" w:sz="0" w:space="0" w:color="auto"/>
            <w:bottom w:val="none" w:sz="0" w:space="0" w:color="auto"/>
            <w:right w:val="none" w:sz="0" w:space="0" w:color="auto"/>
          </w:divBdr>
        </w:div>
        <w:div w:id="1263953290">
          <w:marLeft w:val="0"/>
          <w:marRight w:val="0"/>
          <w:marTop w:val="0"/>
          <w:marBottom w:val="0"/>
          <w:divBdr>
            <w:top w:val="none" w:sz="0" w:space="0" w:color="auto"/>
            <w:left w:val="none" w:sz="0" w:space="0" w:color="auto"/>
            <w:bottom w:val="none" w:sz="0" w:space="0" w:color="auto"/>
            <w:right w:val="none" w:sz="0" w:space="0" w:color="auto"/>
          </w:divBdr>
        </w:div>
        <w:div w:id="182015821">
          <w:marLeft w:val="0"/>
          <w:marRight w:val="0"/>
          <w:marTop w:val="0"/>
          <w:marBottom w:val="0"/>
          <w:divBdr>
            <w:top w:val="none" w:sz="0" w:space="0" w:color="auto"/>
            <w:left w:val="none" w:sz="0" w:space="0" w:color="auto"/>
            <w:bottom w:val="none" w:sz="0" w:space="0" w:color="auto"/>
            <w:right w:val="none" w:sz="0" w:space="0" w:color="auto"/>
          </w:divBdr>
        </w:div>
      </w:divsChild>
    </w:div>
    <w:div w:id="1302543486">
      <w:bodyDiv w:val="1"/>
      <w:marLeft w:val="0"/>
      <w:marRight w:val="0"/>
      <w:marTop w:val="0"/>
      <w:marBottom w:val="0"/>
      <w:divBdr>
        <w:top w:val="none" w:sz="0" w:space="0" w:color="auto"/>
        <w:left w:val="none" w:sz="0" w:space="0" w:color="auto"/>
        <w:bottom w:val="none" w:sz="0" w:space="0" w:color="auto"/>
        <w:right w:val="none" w:sz="0" w:space="0" w:color="auto"/>
      </w:divBdr>
      <w:divsChild>
        <w:div w:id="1257905451">
          <w:marLeft w:val="0"/>
          <w:marRight w:val="0"/>
          <w:marTop w:val="0"/>
          <w:marBottom w:val="0"/>
          <w:divBdr>
            <w:top w:val="none" w:sz="0" w:space="0" w:color="auto"/>
            <w:left w:val="none" w:sz="0" w:space="0" w:color="auto"/>
            <w:bottom w:val="none" w:sz="0" w:space="0" w:color="auto"/>
            <w:right w:val="none" w:sz="0" w:space="0" w:color="auto"/>
          </w:divBdr>
        </w:div>
        <w:div w:id="33341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c.uk/study/research-degrees/funded-opportunities/bbsrc-mib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2023-10-25T12:36:00Z</dcterms:created>
  <dcterms:modified xsi:type="dcterms:W3CDTF">2023-11-02T09:47:00Z</dcterms:modified>
</cp:coreProperties>
</file>