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4F60" w14:textId="77777777" w:rsidR="005123C1" w:rsidRDefault="005123C1" w:rsidP="005123C1">
      <w:pPr>
        <w:rPr>
          <w:b/>
        </w:rPr>
      </w:pPr>
      <w:r>
        <w:rPr>
          <w:b/>
        </w:rPr>
        <w:t>University of Leicester PhD studentship</w:t>
      </w:r>
    </w:p>
    <w:p w14:paraId="52DDE838" w14:textId="77777777" w:rsidR="005123C1" w:rsidRDefault="005123C1" w:rsidP="005123C1">
      <w:pPr>
        <w:rPr>
          <w:b/>
        </w:rPr>
      </w:pPr>
      <w:r>
        <w:rPr>
          <w:b/>
        </w:rPr>
        <w:t xml:space="preserve">Funding Source: </w:t>
      </w:r>
      <w:r>
        <w:t>CENTA DTP</w:t>
      </w:r>
    </w:p>
    <w:p w14:paraId="26229E16" w14:textId="77777777" w:rsidR="005123C1" w:rsidRDefault="005123C1" w:rsidP="005123C1">
      <w:pPr>
        <w:rPr>
          <w:b/>
        </w:rPr>
      </w:pPr>
      <w:r>
        <w:rPr>
          <w:b/>
        </w:rPr>
        <w:t xml:space="preserve">Proposed start date: </w:t>
      </w:r>
      <w:r>
        <w:t>23</w:t>
      </w:r>
      <w:r>
        <w:rPr>
          <w:vertAlign w:val="superscript"/>
        </w:rPr>
        <w:t xml:space="preserve">rd </w:t>
      </w:r>
      <w:r>
        <w:t>September 2024</w:t>
      </w:r>
    </w:p>
    <w:p w14:paraId="1917817E" w14:textId="2C5D1415" w:rsidR="005123C1" w:rsidRDefault="005123C1" w:rsidP="005123C1">
      <w:pPr>
        <w:rPr>
          <w:b/>
          <w:color w:val="FF0000"/>
        </w:rPr>
      </w:pPr>
      <w:r>
        <w:rPr>
          <w:b/>
        </w:rPr>
        <w:t xml:space="preserve">Closing date for applications: </w:t>
      </w:r>
      <w:r w:rsidR="00563AD0" w:rsidRPr="00563AD0">
        <w:t>See our web page</w:t>
      </w:r>
    </w:p>
    <w:p w14:paraId="35CF8DE6" w14:textId="77777777" w:rsidR="005123C1" w:rsidRDefault="005123C1" w:rsidP="005123C1">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1D23EE9F" w14:textId="77777777" w:rsidR="00791804" w:rsidRDefault="00791804" w:rsidP="00B90549">
      <w:r w:rsidRPr="0089276A">
        <w:rPr>
          <w:b/>
        </w:rPr>
        <w:t>Department/School:</w:t>
      </w:r>
      <w:r w:rsidRPr="0089276A">
        <w:t xml:space="preserve">  </w:t>
      </w:r>
      <w:r>
        <w:rPr>
          <w:noProof/>
        </w:rPr>
        <w:t>Geology</w:t>
      </w:r>
    </w:p>
    <w:p w14:paraId="3C68AFEF" w14:textId="6A7A823F" w:rsidR="00B52D49" w:rsidRPr="00FB22BF" w:rsidRDefault="00791804" w:rsidP="00B52D49">
      <w:r w:rsidRPr="0089276A">
        <w:rPr>
          <w:b/>
        </w:rPr>
        <w:t>Supervisors:</w:t>
      </w:r>
      <w:r w:rsidRPr="0089276A">
        <w:tab/>
      </w:r>
      <w:r w:rsidR="00B52D49" w:rsidRPr="003201EE">
        <w:rPr>
          <w:b/>
        </w:rPr>
        <w:t>PI:</w:t>
      </w:r>
      <w:r w:rsidR="00B52D49">
        <w:rPr>
          <w:b/>
        </w:rPr>
        <w:t xml:space="preserve"> </w:t>
      </w:r>
      <w:r w:rsidR="00B52D49" w:rsidRPr="00FB22BF">
        <w:rPr>
          <w:rFonts w:ascii="Calibri" w:eastAsia="Calibri" w:hAnsi="Calibri" w:cs="Calibri"/>
          <w:lang w:val="en-US"/>
        </w:rPr>
        <w:t>David Unwin, University of Leicester (</w:t>
      </w:r>
      <w:hyperlink r:id="rId6" w:history="1">
        <w:r w:rsidR="00B52D49" w:rsidRPr="008B03AF">
          <w:rPr>
            <w:rStyle w:val="Hyperlink"/>
            <w:rFonts w:ascii="Calibri" w:eastAsia="Calibri" w:hAnsi="Calibri" w:cs="Calibri"/>
            <w:lang w:val="en-US"/>
          </w:rPr>
          <w:t>dmu1@le.ac.uk</w:t>
        </w:r>
      </w:hyperlink>
      <w:r w:rsidR="00B52D49" w:rsidRPr="00FB22BF">
        <w:rPr>
          <w:rFonts w:ascii="Calibri" w:eastAsia="Calibri" w:hAnsi="Calibri" w:cs="Calibri"/>
          <w:lang w:val="en-US"/>
        </w:rPr>
        <w:t>)</w:t>
      </w:r>
    </w:p>
    <w:p w14:paraId="3774F4A1" w14:textId="2747E166" w:rsidR="00B52D49" w:rsidRDefault="00B52D49" w:rsidP="00B52D49">
      <w:pPr>
        <w:ind w:left="1440"/>
        <w:rPr>
          <w:rFonts w:ascii="Calibri" w:eastAsia="Calibri" w:hAnsi="Calibri" w:cs="Calibri"/>
          <w:lang w:val="en-US"/>
        </w:rPr>
      </w:pPr>
      <w:r w:rsidRPr="003201EE">
        <w:rPr>
          <w:b/>
        </w:rPr>
        <w:t xml:space="preserve">Co-I: </w:t>
      </w:r>
      <w:r>
        <w:rPr>
          <w:rFonts w:ascii="Calibri" w:eastAsia="Calibri" w:hAnsi="Calibri" w:cs="Calibri"/>
          <w:lang w:val="en-US"/>
        </w:rPr>
        <w:t>Tom Harvey</w:t>
      </w:r>
      <w:r w:rsidRPr="00FB22BF">
        <w:rPr>
          <w:rFonts w:ascii="Calibri" w:eastAsia="Calibri" w:hAnsi="Calibri" w:cs="Calibri"/>
          <w:lang w:val="en-US"/>
        </w:rPr>
        <w:t>, University of Leicester (</w:t>
      </w:r>
      <w:hyperlink r:id="rId7" w:history="1">
        <w:r w:rsidRPr="00B4786E">
          <w:rPr>
            <w:rStyle w:val="Hyperlink"/>
          </w:rPr>
          <w:t>thph</w:t>
        </w:r>
        <w:r w:rsidRPr="00B4786E">
          <w:rPr>
            <w:rStyle w:val="Hyperlink"/>
            <w:rFonts w:ascii="Calibri" w:eastAsia="Calibri" w:hAnsi="Calibri" w:cs="Calibri"/>
            <w:lang w:val="en-US"/>
          </w:rPr>
          <w:t>2@le.ac.uk</w:t>
        </w:r>
      </w:hyperlink>
      <w:r w:rsidRPr="00FB22BF">
        <w:rPr>
          <w:rFonts w:ascii="Calibri" w:eastAsia="Calibri" w:hAnsi="Calibri" w:cs="Calibri"/>
          <w:lang w:val="en-US"/>
        </w:rPr>
        <w:t>)</w:t>
      </w:r>
    </w:p>
    <w:p w14:paraId="3E8A7A81" w14:textId="2BBC1267" w:rsidR="00B52D49" w:rsidRDefault="00B52D49" w:rsidP="00B52D49">
      <w:pPr>
        <w:ind w:left="1440"/>
        <w:rPr>
          <w:rFonts w:ascii="Calibri" w:eastAsia="Calibri" w:hAnsi="Calibri" w:cs="Calibri"/>
          <w:lang w:val="en-US"/>
        </w:rPr>
      </w:pPr>
      <w:r w:rsidRPr="003201EE">
        <w:rPr>
          <w:b/>
        </w:rPr>
        <w:t xml:space="preserve">Co-I: </w:t>
      </w:r>
      <w:r w:rsidRPr="00FB22BF">
        <w:rPr>
          <w:rFonts w:ascii="Calibri" w:eastAsia="Calibri" w:hAnsi="Calibri" w:cs="Calibri"/>
          <w:lang w:val="en-US"/>
        </w:rPr>
        <w:t>Richard Butler, University of Birmingham (</w:t>
      </w:r>
      <w:hyperlink r:id="rId8" w:history="1">
        <w:r w:rsidRPr="008B03AF">
          <w:rPr>
            <w:rStyle w:val="Hyperlink"/>
            <w:rFonts w:ascii="Calibri" w:eastAsia="Calibri" w:hAnsi="Calibri" w:cs="Calibri"/>
            <w:lang w:val="en-US"/>
          </w:rPr>
          <w:t>R.Butler.1@bham.ac.uk</w:t>
        </w:r>
      </w:hyperlink>
      <w:r w:rsidRPr="00FB22BF">
        <w:rPr>
          <w:rFonts w:ascii="Calibri" w:eastAsia="Calibri" w:hAnsi="Calibri" w:cs="Calibri"/>
          <w:lang w:val="en-US"/>
        </w:rPr>
        <w:t>)</w:t>
      </w:r>
    </w:p>
    <w:p w14:paraId="3E71976B" w14:textId="514C2F53" w:rsidR="00B52D49" w:rsidRDefault="00B52D49" w:rsidP="00B52D49">
      <w:pPr>
        <w:ind w:left="1440"/>
        <w:rPr>
          <w:rFonts w:ascii="Calibri" w:eastAsia="Calibri" w:hAnsi="Calibri" w:cs="Calibri"/>
          <w:lang w:val="en-US"/>
        </w:rPr>
      </w:pPr>
      <w:r w:rsidRPr="003201EE">
        <w:rPr>
          <w:b/>
        </w:rPr>
        <w:t xml:space="preserve">Co-I: </w:t>
      </w:r>
      <w:r>
        <w:rPr>
          <w:rFonts w:ascii="Calibri" w:eastAsia="Calibri" w:hAnsi="Calibri" w:cs="Calibri"/>
          <w:lang w:val="en-US"/>
        </w:rPr>
        <w:t>S</w:t>
      </w:r>
      <w:proofErr w:type="spellStart"/>
      <w:r>
        <w:t>tephan</w:t>
      </w:r>
      <w:proofErr w:type="spellEnd"/>
      <w:r>
        <w:t xml:space="preserve"> Lautenschlager</w:t>
      </w:r>
      <w:r w:rsidRPr="00FB22BF">
        <w:rPr>
          <w:rFonts w:ascii="Calibri" w:eastAsia="Calibri" w:hAnsi="Calibri" w:cs="Calibri"/>
          <w:lang w:val="en-US"/>
        </w:rPr>
        <w:t>, University</w:t>
      </w:r>
      <w:r>
        <w:rPr>
          <w:rFonts w:ascii="Calibri" w:eastAsia="Calibri" w:hAnsi="Calibri" w:cs="Calibri"/>
          <w:lang w:val="en-US"/>
        </w:rPr>
        <w:t xml:space="preserve"> </w:t>
      </w:r>
      <w:r>
        <w:t>of Birmingham</w:t>
      </w:r>
      <w:r w:rsidRPr="00FB22BF">
        <w:rPr>
          <w:rFonts w:ascii="Calibri" w:eastAsia="Calibri" w:hAnsi="Calibri" w:cs="Calibri"/>
          <w:lang w:val="en-US"/>
        </w:rPr>
        <w:t xml:space="preserve"> (</w:t>
      </w:r>
      <w:hyperlink r:id="rId9" w:history="1">
        <w:r w:rsidRPr="00B52D49">
          <w:rPr>
            <w:rStyle w:val="Hyperlink"/>
            <w:rFonts w:ascii="Calibri" w:eastAsia="Calibri" w:hAnsi="Calibri" w:cs="Calibri"/>
            <w:lang w:val="en-US"/>
          </w:rPr>
          <w:t>S.Lautenschlager.bham.ac.uk</w:t>
        </w:r>
      </w:hyperlink>
      <w:r>
        <w:rPr>
          <w:rFonts w:ascii="Calibri" w:eastAsia="Calibri" w:hAnsi="Calibri" w:cs="Calibri"/>
          <w:lang w:val="en-US"/>
        </w:rPr>
        <w:t>)</w:t>
      </w:r>
    </w:p>
    <w:p w14:paraId="04CE6139" w14:textId="26CAC13C" w:rsidR="00791804" w:rsidRPr="0089276A" w:rsidRDefault="00791804" w:rsidP="00B52D49">
      <w:pPr>
        <w:rPr>
          <w:b/>
        </w:rPr>
      </w:pPr>
      <w:r w:rsidRPr="0089276A">
        <w:rPr>
          <w:b/>
        </w:rPr>
        <w:t xml:space="preserve">Project Title: </w:t>
      </w:r>
      <w:r w:rsidRPr="0089276A">
        <w:rPr>
          <w:b/>
        </w:rPr>
        <w:tab/>
      </w:r>
      <w:r>
        <w:rPr>
          <w:noProof/>
        </w:rPr>
        <w:t>The role of the hind limbs in pterosaur flight</w:t>
      </w:r>
      <w:r w:rsidRPr="001E178F">
        <w:t>.</w:t>
      </w:r>
    </w:p>
    <w:p w14:paraId="7C748DC3" w14:textId="77777777" w:rsidR="00791804" w:rsidRPr="0089276A" w:rsidRDefault="00791804" w:rsidP="00186CBA">
      <w:pPr>
        <w:ind w:left="1440" w:hanging="1440"/>
        <w:rPr>
          <w:bCs/>
        </w:rPr>
      </w:pPr>
    </w:p>
    <w:p w14:paraId="1E6F6BAD" w14:textId="5EB98F9F" w:rsidR="00791804" w:rsidRPr="0089276A" w:rsidRDefault="00791804" w:rsidP="00186CBA">
      <w:pPr>
        <w:ind w:left="1440" w:hanging="1440"/>
        <w:rPr>
          <w:b/>
          <w:bCs/>
        </w:rPr>
      </w:pPr>
      <w:r w:rsidRPr="0089276A">
        <w:rPr>
          <w:b/>
          <w:bCs/>
        </w:rPr>
        <w:t xml:space="preserve">Project </w:t>
      </w:r>
      <w:proofErr w:type="gramStart"/>
      <w:r w:rsidRPr="0089276A">
        <w:rPr>
          <w:b/>
          <w:bCs/>
        </w:rPr>
        <w:t>Description :</w:t>
      </w:r>
      <w:proofErr w:type="gramEnd"/>
    </w:p>
    <w:p w14:paraId="04C2299F" w14:textId="77777777" w:rsidR="00B52D49" w:rsidRDefault="00B52D49" w:rsidP="00B52D49">
      <w:pPr>
        <w:rPr>
          <w:b/>
        </w:rPr>
      </w:pPr>
      <w:r w:rsidRPr="005C65A1">
        <w:rPr>
          <w:b/>
        </w:rPr>
        <w:t xml:space="preserve">Project Highlights: </w:t>
      </w:r>
    </w:p>
    <w:p w14:paraId="27C379A7" w14:textId="77777777" w:rsidR="00B52D49" w:rsidRPr="00102EBF" w:rsidRDefault="00B52D49" w:rsidP="00B52D49">
      <w:pPr>
        <w:pStyle w:val="ListParagraph"/>
        <w:numPr>
          <w:ilvl w:val="0"/>
          <w:numId w:val="10"/>
        </w:numPr>
        <w:rPr>
          <w:color w:val="000000" w:themeColor="text1"/>
        </w:rPr>
      </w:pPr>
      <w:r w:rsidRPr="00102EBF">
        <w:rPr>
          <w:color w:val="000000" w:themeColor="text1"/>
        </w:rPr>
        <w:t xml:space="preserve">Gain expertise in 3D digital modelling, morphometrics, photogrammetry and phylogenetics </w:t>
      </w:r>
    </w:p>
    <w:p w14:paraId="111EBAB0" w14:textId="77777777" w:rsidR="00B52D49" w:rsidRDefault="00B52D49" w:rsidP="00B52D49">
      <w:pPr>
        <w:pStyle w:val="ListParagraph"/>
        <w:numPr>
          <w:ilvl w:val="0"/>
          <w:numId w:val="10"/>
        </w:numPr>
      </w:pPr>
      <w:r>
        <w:t xml:space="preserve">Data collection in key palaeontological collections in the UK, Europe, USA, China and Japan </w:t>
      </w:r>
    </w:p>
    <w:p w14:paraId="62EC9C32" w14:textId="77777777" w:rsidR="00B52D49" w:rsidRDefault="00B52D49" w:rsidP="00B52D49">
      <w:pPr>
        <w:pStyle w:val="ListParagraph"/>
        <w:numPr>
          <w:ilvl w:val="0"/>
          <w:numId w:val="10"/>
        </w:numPr>
      </w:pPr>
      <w:r>
        <w:t xml:space="preserve">Generation of the first model of pterosaur flight that fully integrates the fore and hind limbs. </w:t>
      </w:r>
    </w:p>
    <w:p w14:paraId="2A311517" w14:textId="77777777" w:rsidR="00B52D49" w:rsidRPr="00E11B26" w:rsidRDefault="00B52D49" w:rsidP="00B52D49">
      <w:pPr>
        <w:pStyle w:val="ListParagraph"/>
      </w:pPr>
    </w:p>
    <w:p w14:paraId="3802CE8D" w14:textId="77777777" w:rsidR="00B52D49" w:rsidRDefault="00B52D49" w:rsidP="00B52D49">
      <w:pPr>
        <w:rPr>
          <w:i/>
          <w:color w:val="FF0000"/>
        </w:rPr>
      </w:pPr>
      <w:r w:rsidRPr="002E3DA0">
        <w:rPr>
          <w:b/>
        </w:rPr>
        <w:t>Overview:</w:t>
      </w:r>
      <w:r>
        <w:t xml:space="preserve"> </w:t>
      </w:r>
    </w:p>
    <w:p w14:paraId="5EBABDBB" w14:textId="77777777" w:rsidR="00B52D49" w:rsidRDefault="00B52D49" w:rsidP="00B52D49">
      <w:r>
        <w:t>The aerial ability of pterosaurs, Mesozoic flying reptiles, has been the focus of attention for more than two centuries. Efforts aimed at determining the shape and extent of the wing panels, the kinematics of the flight stroke and, ultimately, the aerodynamic performance of pterosaurs, have almost exclusively focused on the forelimb. By contrast the contribution of the hind limbs has been largely ignored, in part because of uncertainty as to the extent to which they were incorporated into the wings. Traditionally, pterosaurs were considered to be rather bat-like with extensive wing membranes that attached to the legs (Unwin, 2005). Contradicting this idea, some researchers argued for a much-reduced degree of attachment, or even complete exclusion of the hind limbs from the flight apparatus as, for example, in birds (</w:t>
      </w:r>
      <w:proofErr w:type="spellStart"/>
      <w:r>
        <w:t>Padian</w:t>
      </w:r>
      <w:proofErr w:type="spellEnd"/>
      <w:r>
        <w:t xml:space="preserve"> and Rayner 1991). Recent finds of exceptionally well-preserved fossils with complete wing membranes have resolved this problem, showing that the bat-like’ model is correct (Elgin et al., 2010). Despite this few, if any, recent analyses of pterosaur flight have considered the role of the hind limbs even though they are likely to have played a key role in this locomotory activity. </w:t>
      </w:r>
    </w:p>
    <w:p w14:paraId="3D0D85DA" w14:textId="77777777" w:rsidR="00B52D49" w:rsidRDefault="00B52D49" w:rsidP="00B52D49">
      <w:r>
        <w:t xml:space="preserve">This project will combine a broad range of approaches to determine how pterosaurs used their hind limbs for flight including:  comparative skeletal morphology with a focus on the arthrology of the hip joint; morphometric analyses of hind limb proportions and the constraints they imposed on the shape and extent of the flight membranes; reconstruction of muscles of the pelvis and hind limbs combined with biomechanical analysis to determine forces that could be generated and exerted by </w:t>
      </w:r>
      <w:r>
        <w:lastRenderedPageBreak/>
        <w:t xml:space="preserve">the hindlimbs during flight; and 3D digital modelling, based on data generated by photogrammetry, aimed at reconstruction of the kinematics of the hind limb during the flight stroke. </w:t>
      </w:r>
    </w:p>
    <w:p w14:paraId="4AD4CAA5" w14:textId="77777777" w:rsidR="00B52D49" w:rsidRDefault="00B52D49" w:rsidP="00B52D49">
      <w:r>
        <w:t xml:space="preserve">Data sets generated by these approaches will be synthesised into the first generalised model of pterosaur flight that incorporates both the fore and hind limbs. Several data sets, principally those relating to comparative anatomy, arthrology and morphometrics of the hind limbs, will encompass a wide range of taxa. Analysis of this data within a phylogenetic context, will be used to understand how the hind limbs contributed to the evolution of flight ability across Pterosauria, beginning with early, small, relatively short-winged forms and concluding with giants with wingspans in excess of 10 m. </w:t>
      </w:r>
    </w:p>
    <w:p w14:paraId="606EFC99" w14:textId="77777777" w:rsidR="00B52D49" w:rsidRDefault="00B52D49" w:rsidP="00B52D49">
      <w:r>
        <w:t xml:space="preserve"> </w:t>
      </w:r>
    </w:p>
    <w:p w14:paraId="1CDD5F90" w14:textId="77777777" w:rsidR="00B52D49" w:rsidRDefault="00B52D49" w:rsidP="00B52D49">
      <w:r>
        <w:rPr>
          <w:noProof/>
        </w:rPr>
        <w:drawing>
          <wp:inline distT="0" distB="0" distL="0" distR="0" wp14:anchorId="32E10785" wp14:editId="7DEA40B8">
            <wp:extent cx="3304572" cy="4337251"/>
            <wp:effectExtent l="0" t="0" r="0" b="6350"/>
            <wp:docPr id="3" name="Picture 3" descr="The three-dimensional pelvis and hind limb bones of the Early Cretaceous pterosaur Tupuxuara. Inset: reconstruction of Tupuxuara in flight m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three-dimensional pelvis and hind limb bones of the Early Cretaceous pterosaur Tupuxuara. Inset: reconstruction of Tupuxuara in flight mode. "/>
                    <pic:cNvPicPr/>
                  </pic:nvPicPr>
                  <pic:blipFill>
                    <a:blip r:embed="rId10">
                      <a:extLst>
                        <a:ext uri="{28A0092B-C50C-407E-A947-70E740481C1C}">
                          <a14:useLocalDpi xmlns:a14="http://schemas.microsoft.com/office/drawing/2010/main" val="0"/>
                        </a:ext>
                      </a:extLst>
                    </a:blip>
                    <a:stretch>
                      <a:fillRect/>
                    </a:stretch>
                  </pic:blipFill>
                  <pic:spPr>
                    <a:xfrm>
                      <a:off x="0" y="0"/>
                      <a:ext cx="3326425" cy="4365933"/>
                    </a:xfrm>
                    <a:prstGeom prst="rect">
                      <a:avLst/>
                    </a:prstGeom>
                  </pic:spPr>
                </pic:pic>
              </a:graphicData>
            </a:graphic>
          </wp:inline>
        </w:drawing>
      </w:r>
    </w:p>
    <w:p w14:paraId="73A7D2F4" w14:textId="77777777" w:rsidR="00B52D49" w:rsidRPr="00954781" w:rsidRDefault="00B52D49" w:rsidP="00B52D49">
      <w:pPr>
        <w:ind w:left="567" w:hanging="567"/>
        <w:rPr>
          <w:i/>
          <w:sz w:val="20"/>
          <w:szCs w:val="20"/>
        </w:rPr>
      </w:pPr>
      <w:r w:rsidRPr="008475D2">
        <w:rPr>
          <w:i/>
          <w:sz w:val="20"/>
          <w:szCs w:val="20"/>
        </w:rPr>
        <w:t>Figure 1:</w:t>
      </w:r>
      <w:r>
        <w:rPr>
          <w:i/>
          <w:sz w:val="20"/>
          <w:szCs w:val="20"/>
        </w:rPr>
        <w:t xml:space="preserve"> The exceptionally well-preserved, 3D pelvis and hind limbs of the Early Cretaceous pterosaur </w:t>
      </w:r>
      <w:proofErr w:type="spellStart"/>
      <w:r w:rsidRPr="00B544FF">
        <w:rPr>
          <w:iCs/>
          <w:sz w:val="20"/>
          <w:szCs w:val="20"/>
        </w:rPr>
        <w:t>Tupuxuara</w:t>
      </w:r>
      <w:proofErr w:type="spellEnd"/>
      <w:r>
        <w:rPr>
          <w:i/>
          <w:sz w:val="20"/>
          <w:szCs w:val="20"/>
        </w:rPr>
        <w:t xml:space="preserve"> (Iwaki Coal and Fossil Museum 1052)</w:t>
      </w:r>
      <w:r w:rsidRPr="008475D2">
        <w:rPr>
          <w:i/>
          <w:sz w:val="20"/>
          <w:szCs w:val="20"/>
        </w:rPr>
        <w:t>.</w:t>
      </w:r>
      <w:r>
        <w:rPr>
          <w:i/>
          <w:sz w:val="20"/>
          <w:szCs w:val="20"/>
        </w:rPr>
        <w:t xml:space="preserve"> Inset: reconstruction of </w:t>
      </w:r>
      <w:proofErr w:type="spellStart"/>
      <w:r w:rsidRPr="00B544FF">
        <w:rPr>
          <w:iCs/>
          <w:sz w:val="20"/>
          <w:szCs w:val="20"/>
        </w:rPr>
        <w:t>Tupuxuara</w:t>
      </w:r>
      <w:proofErr w:type="spellEnd"/>
      <w:r>
        <w:rPr>
          <w:i/>
          <w:sz w:val="20"/>
          <w:szCs w:val="20"/>
        </w:rPr>
        <w:t xml:space="preserve"> in flight mode (image courtesy of the American Museum of Natural History, 2014). </w:t>
      </w:r>
    </w:p>
    <w:p w14:paraId="0854CAF6" w14:textId="77777777" w:rsidR="00B52D49" w:rsidRPr="005C65A1" w:rsidRDefault="00B52D49" w:rsidP="00B52D49">
      <w:pPr>
        <w:rPr>
          <w:b/>
        </w:rPr>
      </w:pPr>
      <w:r w:rsidRPr="005C65A1">
        <w:rPr>
          <w:b/>
        </w:rPr>
        <w:t xml:space="preserve">Methodology: </w:t>
      </w:r>
    </w:p>
    <w:p w14:paraId="37FAFDA2" w14:textId="77777777" w:rsidR="00B52D49" w:rsidRPr="009F44BE" w:rsidRDefault="00B52D49" w:rsidP="00B52D49">
      <w:pPr>
        <w:rPr>
          <w:rFonts w:ascii="Calibri" w:eastAsia="Calibri" w:hAnsi="Calibri" w:cs="Calibri"/>
        </w:rPr>
      </w:pPr>
      <w:r>
        <w:rPr>
          <w:rFonts w:ascii="Calibri" w:eastAsia="Calibri" w:hAnsi="Calibri" w:cs="Calibri"/>
        </w:rPr>
        <w:t xml:space="preserve">This project will take advantage of recently developed digital approaches to analysing and reconstructing locomotion in fossil vertebrates (Benton 2020). Comparative anatomy and arthrology of the pelvis and hind limbs will be investigated using </w:t>
      </w:r>
      <w:r w:rsidRPr="009F44BE">
        <w:rPr>
          <w:rFonts w:ascii="Calibri" w:eastAsia="Calibri" w:hAnsi="Calibri" w:cs="Calibri"/>
          <w:b/>
          <w:bCs/>
          <w:i/>
          <w:iCs/>
        </w:rPr>
        <w:t>range of movement</w:t>
      </w:r>
      <w:r>
        <w:rPr>
          <w:rFonts w:ascii="Calibri" w:eastAsia="Calibri" w:hAnsi="Calibri" w:cs="Calibri"/>
        </w:rPr>
        <w:t xml:space="preserve"> (ROM) techniques (</w:t>
      </w:r>
      <w:proofErr w:type="gramStart"/>
      <w:r>
        <w:rPr>
          <w:rFonts w:ascii="Calibri" w:eastAsia="Calibri" w:hAnsi="Calibri" w:cs="Calibri"/>
        </w:rPr>
        <w:t>e.g.</w:t>
      </w:r>
      <w:proofErr w:type="gramEnd"/>
      <w:r>
        <w:rPr>
          <w:rFonts w:ascii="Calibri" w:eastAsia="Calibri" w:hAnsi="Calibri" w:cs="Calibri"/>
        </w:rPr>
        <w:t xml:space="preserve"> </w:t>
      </w:r>
      <w:proofErr w:type="spellStart"/>
      <w:r>
        <w:rPr>
          <w:rFonts w:ascii="Calibri" w:eastAsia="Calibri" w:hAnsi="Calibri" w:cs="Calibri"/>
        </w:rPr>
        <w:t>Manafazdeh</w:t>
      </w:r>
      <w:proofErr w:type="spellEnd"/>
      <w:r>
        <w:rPr>
          <w:rFonts w:ascii="Calibri" w:eastAsia="Calibri" w:hAnsi="Calibri" w:cs="Calibri"/>
        </w:rPr>
        <w:t xml:space="preserve"> et al., 2021) based primarily on exceptionally well preserved 3D skeletal remains of pterosaurs from the Santana Formation of Brazil (</w:t>
      </w:r>
      <w:proofErr w:type="spellStart"/>
      <w:r>
        <w:rPr>
          <w:rFonts w:ascii="Calibri" w:eastAsia="Calibri" w:hAnsi="Calibri" w:cs="Calibri"/>
        </w:rPr>
        <w:t>Veldmeijer</w:t>
      </w:r>
      <w:proofErr w:type="spellEnd"/>
      <w:r>
        <w:rPr>
          <w:rFonts w:ascii="Calibri" w:eastAsia="Calibri" w:hAnsi="Calibri" w:cs="Calibri"/>
        </w:rPr>
        <w:t xml:space="preserve">, 2006). </w:t>
      </w:r>
      <w:r>
        <w:rPr>
          <w:rFonts w:ascii="Calibri" w:eastAsia="Calibri" w:hAnsi="Calibri" w:cs="Calibri"/>
          <w:b/>
          <w:bCs/>
          <w:i/>
          <w:iCs/>
        </w:rPr>
        <w:t>M</w:t>
      </w:r>
      <w:r w:rsidRPr="009F44BE">
        <w:rPr>
          <w:rFonts w:ascii="Calibri" w:eastAsia="Calibri" w:hAnsi="Calibri" w:cs="Calibri"/>
          <w:b/>
          <w:bCs/>
          <w:i/>
          <w:iCs/>
        </w:rPr>
        <w:t>orphometrics and landmark data</w:t>
      </w:r>
      <w:r>
        <w:rPr>
          <w:rFonts w:ascii="Calibri" w:eastAsia="Calibri" w:hAnsi="Calibri" w:cs="Calibri"/>
        </w:rPr>
        <w:t xml:space="preserve"> will be employed to analyse variation in the dimensions of the hind limb and the geometry of the flight surfaces (</w:t>
      </w:r>
      <w:proofErr w:type="gramStart"/>
      <w:r>
        <w:rPr>
          <w:rFonts w:ascii="Calibri" w:eastAsia="Calibri" w:hAnsi="Calibri" w:cs="Calibri"/>
        </w:rPr>
        <w:t>e.g.</w:t>
      </w:r>
      <w:proofErr w:type="gramEnd"/>
      <w:r>
        <w:rPr>
          <w:rFonts w:ascii="Calibri" w:eastAsia="Calibri" w:hAnsi="Calibri" w:cs="Calibri"/>
        </w:rPr>
        <w:t xml:space="preserve"> Webster and Sheets 2010).  </w:t>
      </w:r>
      <w:r w:rsidRPr="009F44BE">
        <w:rPr>
          <w:rFonts w:ascii="Calibri" w:eastAsia="Calibri" w:hAnsi="Calibri" w:cs="Calibri"/>
          <w:b/>
          <w:bCs/>
          <w:i/>
          <w:iCs/>
        </w:rPr>
        <w:t xml:space="preserve">3D </w:t>
      </w:r>
      <w:r>
        <w:rPr>
          <w:rFonts w:ascii="Calibri" w:eastAsia="Calibri" w:hAnsi="Calibri" w:cs="Calibri"/>
          <w:b/>
          <w:bCs/>
          <w:i/>
          <w:iCs/>
        </w:rPr>
        <w:t>d</w:t>
      </w:r>
      <w:r w:rsidRPr="206357C5">
        <w:rPr>
          <w:rFonts w:ascii="Calibri" w:eastAsia="Calibri" w:hAnsi="Calibri" w:cs="Calibri"/>
          <w:b/>
          <w:bCs/>
          <w:i/>
          <w:iCs/>
        </w:rPr>
        <w:t xml:space="preserve">igital </w:t>
      </w:r>
      <w:r>
        <w:rPr>
          <w:rFonts w:ascii="Calibri" w:eastAsia="Calibri" w:hAnsi="Calibri" w:cs="Calibri"/>
          <w:b/>
          <w:bCs/>
          <w:i/>
          <w:iCs/>
        </w:rPr>
        <w:t>techniques</w:t>
      </w:r>
      <w:r w:rsidRPr="206357C5">
        <w:rPr>
          <w:rFonts w:ascii="Calibri" w:eastAsia="Calibri" w:hAnsi="Calibri" w:cs="Calibri"/>
        </w:rPr>
        <w:t xml:space="preserve"> </w:t>
      </w:r>
      <w:r>
        <w:rPr>
          <w:rFonts w:ascii="Calibri" w:eastAsia="Calibri" w:hAnsi="Calibri" w:cs="Calibri"/>
        </w:rPr>
        <w:t xml:space="preserve">(Lautenschlager, 2021), </w:t>
      </w:r>
      <w:r>
        <w:rPr>
          <w:rFonts w:ascii="Calibri" w:eastAsia="Calibri" w:hAnsi="Calibri" w:cs="Calibri"/>
        </w:rPr>
        <w:lastRenderedPageBreak/>
        <w:t xml:space="preserve">will be used to develop a model simulating the kinematics of the hind limb during the flight stroke. </w:t>
      </w:r>
      <w:r w:rsidRPr="009F44BE">
        <w:rPr>
          <w:rFonts w:ascii="Calibri" w:eastAsia="Calibri" w:hAnsi="Calibri" w:cs="Calibri"/>
          <w:b/>
          <w:bCs/>
          <w:i/>
          <w:iCs/>
        </w:rPr>
        <w:t>Reconstruction of the evolutionary history of the pterosaur flight apparatus</w:t>
      </w:r>
      <w:r w:rsidRPr="206357C5">
        <w:rPr>
          <w:rFonts w:ascii="Calibri" w:eastAsia="Calibri" w:hAnsi="Calibri" w:cs="Calibri"/>
        </w:rPr>
        <w:t>, supervised by Butler, will use quantitative approaches set within a phylogenetic framework</w:t>
      </w:r>
      <w:r>
        <w:rPr>
          <w:rFonts w:ascii="Calibri" w:eastAsia="Calibri" w:hAnsi="Calibri" w:cs="Calibri"/>
        </w:rPr>
        <w:t xml:space="preserve"> comparable, for example, to a recent study by Yu et al. (2023)</w:t>
      </w:r>
      <w:r w:rsidRPr="206357C5">
        <w:rPr>
          <w:rFonts w:ascii="Calibri" w:eastAsia="Calibri" w:hAnsi="Calibri" w:cs="Calibri"/>
        </w:rPr>
        <w:t>.</w:t>
      </w:r>
      <w:r>
        <w:rPr>
          <w:rFonts w:ascii="Calibri" w:eastAsia="Calibri" w:hAnsi="Calibri" w:cs="Calibri"/>
        </w:rPr>
        <w:t xml:space="preserve">       </w:t>
      </w:r>
    </w:p>
    <w:p w14:paraId="2BDFCB3F" w14:textId="77777777" w:rsidR="00B52D49" w:rsidRDefault="00B52D49" w:rsidP="00DC7AB5">
      <w:pPr>
        <w:pStyle w:val="NoSpacing"/>
        <w:rPr>
          <w:b/>
          <w:bCs/>
        </w:rPr>
      </w:pPr>
    </w:p>
    <w:p w14:paraId="253E1AEB" w14:textId="770F954E" w:rsidR="00791804" w:rsidRDefault="00791804" w:rsidP="00DC7AB5">
      <w:pPr>
        <w:pStyle w:val="NoSpacing"/>
        <w:rPr>
          <w:b/>
          <w:bCs/>
        </w:rPr>
      </w:pPr>
      <w:r w:rsidRPr="00D1675B">
        <w:rPr>
          <w:b/>
          <w:bCs/>
        </w:rPr>
        <w:t xml:space="preserve">References: </w:t>
      </w:r>
    </w:p>
    <w:p w14:paraId="5A9B8010" w14:textId="77777777" w:rsidR="00791804" w:rsidRPr="00D1675B" w:rsidRDefault="00791804" w:rsidP="00DC7AB5">
      <w:pPr>
        <w:pStyle w:val="NoSpacing"/>
        <w:rPr>
          <w:b/>
          <w:bCs/>
        </w:rPr>
      </w:pPr>
    </w:p>
    <w:p w14:paraId="570223C8" w14:textId="77777777" w:rsidR="00B52D49" w:rsidRPr="00336A87" w:rsidRDefault="00B52D49" w:rsidP="00B52D49">
      <w:pPr>
        <w:spacing w:after="120" w:line="240" w:lineRule="auto"/>
        <w:ind w:left="567" w:hanging="567"/>
        <w:rPr>
          <w:rFonts w:cstheme="minorHAnsi"/>
        </w:rPr>
      </w:pPr>
      <w:r w:rsidRPr="00336A87">
        <w:rPr>
          <w:rFonts w:cstheme="minorHAnsi"/>
        </w:rPr>
        <w:t xml:space="preserve">Benton, M. J. 2020. </w:t>
      </w:r>
      <w:r w:rsidRPr="00336A87">
        <w:rPr>
          <w:rFonts w:cstheme="minorHAnsi"/>
          <w:i/>
          <w:iCs/>
        </w:rPr>
        <w:t>The Dinosaurs Rediscovered: How a Scientific Revolution is Rewriting History</w:t>
      </w:r>
      <w:r w:rsidRPr="00336A87">
        <w:rPr>
          <w:rFonts w:cstheme="minorHAnsi"/>
        </w:rPr>
        <w:t>. Thames and Hudson, London 320pp.</w:t>
      </w:r>
    </w:p>
    <w:p w14:paraId="08238DD8" w14:textId="77777777" w:rsidR="00B52D49" w:rsidRPr="00336A87" w:rsidRDefault="00B52D49" w:rsidP="00B52D49">
      <w:pPr>
        <w:spacing w:after="120" w:line="240" w:lineRule="auto"/>
        <w:ind w:left="567" w:hanging="567"/>
        <w:rPr>
          <w:rFonts w:cstheme="minorHAnsi"/>
        </w:rPr>
      </w:pPr>
      <w:r w:rsidRPr="00336A87">
        <w:rPr>
          <w:rFonts w:cstheme="minorHAnsi"/>
        </w:rPr>
        <w:t xml:space="preserve">Elgin, R. A., Hone, D. W. E. and Frey, E. 2010. The extent of the pterosaur flight membrane. </w:t>
      </w:r>
      <w:r w:rsidRPr="00336A87">
        <w:rPr>
          <w:rFonts w:cstheme="minorHAnsi"/>
          <w:i/>
        </w:rPr>
        <w:t>Acta Pal. Polonica</w:t>
      </w:r>
      <w:r w:rsidRPr="00336A87">
        <w:rPr>
          <w:rFonts w:cstheme="minorHAnsi"/>
        </w:rPr>
        <w:t xml:space="preserve">., </w:t>
      </w:r>
      <w:r w:rsidRPr="00336A87">
        <w:rPr>
          <w:rFonts w:cstheme="minorHAnsi"/>
          <w:b/>
          <w:bCs/>
        </w:rPr>
        <w:t>56</w:t>
      </w:r>
      <w:r w:rsidRPr="00336A87">
        <w:rPr>
          <w:rFonts w:cstheme="minorHAnsi"/>
        </w:rPr>
        <w:t>, 91–111.</w:t>
      </w:r>
    </w:p>
    <w:p w14:paraId="5705574E" w14:textId="77777777" w:rsidR="00B52D49" w:rsidRPr="00336A87" w:rsidRDefault="00B52D49" w:rsidP="00B52D49">
      <w:pPr>
        <w:spacing w:after="120" w:line="240" w:lineRule="auto"/>
        <w:ind w:left="567" w:hanging="567"/>
        <w:rPr>
          <w:rFonts w:cstheme="minorHAnsi"/>
        </w:rPr>
      </w:pPr>
    </w:p>
    <w:p w14:paraId="02F34240" w14:textId="77777777" w:rsidR="00B52D49" w:rsidRPr="00336A87" w:rsidRDefault="00B52D49" w:rsidP="00B52D49">
      <w:pPr>
        <w:spacing w:after="120" w:line="240" w:lineRule="auto"/>
        <w:ind w:left="567" w:hanging="567"/>
        <w:rPr>
          <w:rFonts w:cstheme="minorHAnsi"/>
        </w:rPr>
      </w:pPr>
      <w:r w:rsidRPr="00336A87">
        <w:rPr>
          <w:rFonts w:cstheme="minorHAnsi"/>
        </w:rPr>
        <w:t xml:space="preserve">Lautenschlager, S. 2020. Multibody dynamics analysis (MDA) as a numerical modelling tool to reconstruct the function and palaeobiology of extinct organisms. </w:t>
      </w:r>
      <w:r w:rsidRPr="00336A87">
        <w:rPr>
          <w:rFonts w:cstheme="minorHAnsi"/>
          <w:i/>
          <w:iCs/>
        </w:rPr>
        <w:t>Palaeontology</w:t>
      </w:r>
      <w:r w:rsidRPr="00336A87">
        <w:rPr>
          <w:rFonts w:cstheme="minorHAnsi"/>
        </w:rPr>
        <w:t xml:space="preserve"> </w:t>
      </w:r>
      <w:r w:rsidRPr="00336A87">
        <w:rPr>
          <w:rFonts w:cstheme="minorHAnsi"/>
          <w:b/>
          <w:bCs/>
        </w:rPr>
        <w:t>63</w:t>
      </w:r>
      <w:r w:rsidRPr="00336A87">
        <w:rPr>
          <w:rFonts w:cstheme="minorHAnsi"/>
        </w:rPr>
        <w:t>, 703–715.</w:t>
      </w:r>
    </w:p>
    <w:p w14:paraId="49414ED7" w14:textId="77777777" w:rsidR="00B52D49" w:rsidRPr="00336A87" w:rsidRDefault="00B52D49" w:rsidP="00B52D49">
      <w:pPr>
        <w:spacing w:after="120" w:line="240" w:lineRule="auto"/>
        <w:rPr>
          <w:rFonts w:cstheme="minorHAnsi"/>
          <w:bCs/>
        </w:rPr>
      </w:pPr>
      <w:proofErr w:type="spellStart"/>
      <w:r w:rsidRPr="00336A87">
        <w:rPr>
          <w:rFonts w:cstheme="minorHAnsi"/>
          <w:bCs/>
        </w:rPr>
        <w:t>Manafazdeh</w:t>
      </w:r>
      <w:proofErr w:type="spellEnd"/>
      <w:r w:rsidRPr="00336A87">
        <w:rPr>
          <w:rFonts w:cstheme="minorHAnsi"/>
          <w:bCs/>
        </w:rPr>
        <w:t xml:space="preserve">, A. R., </w:t>
      </w:r>
      <w:proofErr w:type="spellStart"/>
      <w:r w:rsidRPr="00336A87">
        <w:rPr>
          <w:rFonts w:cstheme="minorHAnsi"/>
          <w:bCs/>
        </w:rPr>
        <w:t>Kambic</w:t>
      </w:r>
      <w:proofErr w:type="spellEnd"/>
      <w:r w:rsidRPr="00336A87">
        <w:rPr>
          <w:rFonts w:cstheme="minorHAnsi"/>
          <w:bCs/>
        </w:rPr>
        <w:t xml:space="preserve">, R. E. and </w:t>
      </w:r>
      <w:proofErr w:type="spellStart"/>
      <w:r w:rsidRPr="00336A87">
        <w:rPr>
          <w:rFonts w:cstheme="minorHAnsi"/>
          <w:bCs/>
        </w:rPr>
        <w:t>Gatesy</w:t>
      </w:r>
      <w:proofErr w:type="spellEnd"/>
      <w:r w:rsidRPr="00336A87">
        <w:rPr>
          <w:rFonts w:cstheme="minorHAnsi"/>
          <w:bCs/>
        </w:rPr>
        <w:t xml:space="preserve">, S. M. 2021. A new role for joint mobility in reconstructing vertebrate locomotor evolution. </w:t>
      </w:r>
      <w:r w:rsidRPr="00336A87">
        <w:rPr>
          <w:rFonts w:cstheme="minorHAnsi"/>
          <w:bCs/>
          <w:i/>
          <w:iCs/>
        </w:rPr>
        <w:t>Proceedings of the National Academy of Sciences</w:t>
      </w:r>
      <w:r w:rsidRPr="00336A87">
        <w:rPr>
          <w:rFonts w:cstheme="minorHAnsi"/>
          <w:bCs/>
        </w:rPr>
        <w:t xml:space="preserve">, </w:t>
      </w:r>
      <w:r w:rsidRPr="00336A87">
        <w:rPr>
          <w:rFonts w:cstheme="minorHAnsi"/>
          <w:b/>
        </w:rPr>
        <w:t>118</w:t>
      </w:r>
      <w:r w:rsidRPr="00336A87">
        <w:rPr>
          <w:rFonts w:cstheme="minorHAnsi"/>
          <w:bCs/>
        </w:rPr>
        <w:t>: e2023513118.</w:t>
      </w:r>
    </w:p>
    <w:p w14:paraId="697A73C9" w14:textId="77777777" w:rsidR="00B52D49" w:rsidRPr="00336A87" w:rsidRDefault="00B52D49" w:rsidP="00B52D49">
      <w:pPr>
        <w:spacing w:after="120" w:line="240" w:lineRule="auto"/>
        <w:ind w:left="180" w:hanging="180"/>
        <w:rPr>
          <w:rFonts w:cstheme="minorHAnsi"/>
        </w:rPr>
      </w:pPr>
      <w:proofErr w:type="spellStart"/>
      <w:r w:rsidRPr="00336A87">
        <w:rPr>
          <w:rFonts w:cstheme="minorHAnsi"/>
        </w:rPr>
        <w:t>Padian</w:t>
      </w:r>
      <w:proofErr w:type="spellEnd"/>
      <w:r w:rsidRPr="00336A87">
        <w:rPr>
          <w:rFonts w:cstheme="minorHAnsi"/>
        </w:rPr>
        <w:t xml:space="preserve">, K. and Rayner, J. M. V. 1992. The wings of pterosaurs. </w:t>
      </w:r>
      <w:r w:rsidRPr="00336A87">
        <w:rPr>
          <w:rFonts w:cstheme="minorHAnsi"/>
          <w:i/>
          <w:iCs/>
        </w:rPr>
        <w:t>American Journal of Science</w:t>
      </w:r>
      <w:r w:rsidRPr="00336A87">
        <w:rPr>
          <w:rFonts w:cstheme="minorHAnsi"/>
        </w:rPr>
        <w:t xml:space="preserve"> 293-A, 91–166.</w:t>
      </w:r>
    </w:p>
    <w:p w14:paraId="19B8C328" w14:textId="77777777" w:rsidR="00B52D49" w:rsidRPr="00336A87" w:rsidRDefault="00B52D49" w:rsidP="00B52D49">
      <w:pPr>
        <w:spacing w:after="120" w:line="240" w:lineRule="auto"/>
        <w:ind w:left="180" w:hanging="180"/>
        <w:rPr>
          <w:rFonts w:cstheme="minorHAnsi"/>
        </w:rPr>
      </w:pPr>
      <w:r w:rsidRPr="00336A87">
        <w:rPr>
          <w:rFonts w:eastAsia="Calibri" w:cstheme="minorHAnsi"/>
          <w:lang w:val="en-US"/>
        </w:rPr>
        <w:t>Unwin, D.M. 2005.</w:t>
      </w:r>
      <w:r w:rsidRPr="00336A87">
        <w:rPr>
          <w:rFonts w:eastAsia="Calibri" w:cstheme="minorHAnsi"/>
          <w:b/>
          <w:bCs/>
          <w:lang w:val="en-US"/>
        </w:rPr>
        <w:t xml:space="preserve"> </w:t>
      </w:r>
      <w:r w:rsidRPr="00336A87">
        <w:rPr>
          <w:rFonts w:eastAsia="Calibri" w:cstheme="minorHAnsi"/>
          <w:i/>
          <w:iCs/>
          <w:lang w:val="en-US"/>
        </w:rPr>
        <w:t>The Pterosaurs from Deep Time</w:t>
      </w:r>
      <w:r w:rsidRPr="00336A87">
        <w:rPr>
          <w:rFonts w:eastAsia="Calibri" w:cstheme="minorHAnsi"/>
          <w:lang w:val="en-US"/>
        </w:rPr>
        <w:t>. Pi Press, New York, 347pp.</w:t>
      </w:r>
    </w:p>
    <w:p w14:paraId="6023A6E7" w14:textId="77777777" w:rsidR="00B52D49" w:rsidRPr="00336A87" w:rsidRDefault="00B52D49" w:rsidP="00B52D49">
      <w:pPr>
        <w:widowControl w:val="0"/>
        <w:autoSpaceDE w:val="0"/>
        <w:autoSpaceDN w:val="0"/>
        <w:adjustRightInd w:val="0"/>
        <w:spacing w:after="120" w:line="240" w:lineRule="auto"/>
        <w:ind w:left="426" w:hanging="442"/>
        <w:rPr>
          <w:rFonts w:cstheme="minorHAnsi"/>
        </w:rPr>
      </w:pPr>
      <w:proofErr w:type="spellStart"/>
      <w:r w:rsidRPr="00336A87">
        <w:rPr>
          <w:rFonts w:cstheme="minorHAnsi"/>
        </w:rPr>
        <w:t>Veldmeijer</w:t>
      </w:r>
      <w:proofErr w:type="spellEnd"/>
      <w:r w:rsidRPr="00336A87">
        <w:rPr>
          <w:rFonts w:cstheme="minorHAnsi"/>
        </w:rPr>
        <w:t xml:space="preserve">, A. J. 2003. Description of </w:t>
      </w:r>
      <w:proofErr w:type="spellStart"/>
      <w:r w:rsidRPr="00336A87">
        <w:rPr>
          <w:rFonts w:cstheme="minorHAnsi"/>
          <w:i/>
        </w:rPr>
        <w:t>Coloborhynchus</w:t>
      </w:r>
      <w:proofErr w:type="spellEnd"/>
      <w:r w:rsidRPr="00336A87">
        <w:rPr>
          <w:rFonts w:cstheme="minorHAnsi"/>
          <w:i/>
        </w:rPr>
        <w:t xml:space="preserve"> </w:t>
      </w:r>
      <w:proofErr w:type="spellStart"/>
      <w:r w:rsidRPr="00336A87">
        <w:rPr>
          <w:rFonts w:cstheme="minorHAnsi"/>
          <w:i/>
        </w:rPr>
        <w:t>spielbergi</w:t>
      </w:r>
      <w:proofErr w:type="spellEnd"/>
      <w:r w:rsidRPr="00336A87">
        <w:rPr>
          <w:rFonts w:cstheme="minorHAnsi"/>
        </w:rPr>
        <w:t xml:space="preserve"> sp. </w:t>
      </w:r>
      <w:proofErr w:type="spellStart"/>
      <w:r w:rsidRPr="00336A87">
        <w:rPr>
          <w:rFonts w:cstheme="minorHAnsi"/>
        </w:rPr>
        <w:t>nov.</w:t>
      </w:r>
      <w:proofErr w:type="spellEnd"/>
      <w:r w:rsidRPr="00336A87">
        <w:rPr>
          <w:rFonts w:cstheme="minorHAnsi"/>
        </w:rPr>
        <w:t xml:space="preserve"> (</w:t>
      </w:r>
      <w:proofErr w:type="spellStart"/>
      <w:r w:rsidRPr="00336A87">
        <w:rPr>
          <w:rFonts w:cstheme="minorHAnsi"/>
        </w:rPr>
        <w:t>Pterodactyloidea</w:t>
      </w:r>
      <w:proofErr w:type="spellEnd"/>
      <w:r w:rsidRPr="00336A87">
        <w:rPr>
          <w:rFonts w:cstheme="minorHAnsi"/>
        </w:rPr>
        <w:t xml:space="preserve">) from the Albian (Lower Cretaceous) of Brazil. </w:t>
      </w:r>
      <w:r w:rsidRPr="00336A87">
        <w:rPr>
          <w:rFonts w:cstheme="minorHAnsi"/>
          <w:i/>
        </w:rPr>
        <w:t xml:space="preserve">Scripta </w:t>
      </w:r>
      <w:proofErr w:type="spellStart"/>
      <w:r w:rsidRPr="00336A87">
        <w:rPr>
          <w:rFonts w:cstheme="minorHAnsi"/>
          <w:i/>
        </w:rPr>
        <w:t>Geologica</w:t>
      </w:r>
      <w:proofErr w:type="spellEnd"/>
      <w:r w:rsidRPr="00336A87">
        <w:rPr>
          <w:rFonts w:cstheme="minorHAnsi"/>
        </w:rPr>
        <w:t xml:space="preserve"> </w:t>
      </w:r>
      <w:r w:rsidRPr="00336A87">
        <w:rPr>
          <w:rFonts w:cstheme="minorHAnsi"/>
          <w:b/>
        </w:rPr>
        <w:t>125</w:t>
      </w:r>
      <w:r w:rsidRPr="00336A87">
        <w:rPr>
          <w:rFonts w:cstheme="minorHAnsi"/>
        </w:rPr>
        <w:t>, 35–139.</w:t>
      </w:r>
    </w:p>
    <w:p w14:paraId="52C6CFCC" w14:textId="77777777" w:rsidR="00B52D49" w:rsidRPr="00336A87" w:rsidRDefault="00B52D49" w:rsidP="00B52D49">
      <w:pPr>
        <w:spacing w:after="120" w:line="240" w:lineRule="auto"/>
        <w:ind w:left="567" w:hanging="567"/>
        <w:rPr>
          <w:rFonts w:cstheme="minorHAnsi"/>
        </w:rPr>
      </w:pPr>
      <w:r w:rsidRPr="00336A87">
        <w:rPr>
          <w:rFonts w:cstheme="minorHAnsi"/>
        </w:rPr>
        <w:t xml:space="preserve">Webster, W. and Sheets H. D. 2010. A practical introduction to landmark-based geometric morphometrics. In: </w:t>
      </w:r>
      <w:proofErr w:type="spellStart"/>
      <w:r w:rsidRPr="00336A87">
        <w:rPr>
          <w:rFonts w:cstheme="minorHAnsi"/>
        </w:rPr>
        <w:t>Alroy</w:t>
      </w:r>
      <w:proofErr w:type="spellEnd"/>
      <w:r w:rsidRPr="00336A87">
        <w:rPr>
          <w:rFonts w:cstheme="minorHAnsi"/>
        </w:rPr>
        <w:t xml:space="preserve">, J. and Hunt, G., </w:t>
      </w:r>
      <w:r w:rsidRPr="00336A87">
        <w:rPr>
          <w:rFonts w:cstheme="minorHAnsi"/>
          <w:i/>
          <w:iCs/>
        </w:rPr>
        <w:t>Quantitative Methods in Paleobiology</w:t>
      </w:r>
      <w:r w:rsidRPr="00336A87">
        <w:rPr>
          <w:rFonts w:cstheme="minorHAnsi"/>
        </w:rPr>
        <w:t xml:space="preserve">, Paleontological Society Papers, </w:t>
      </w:r>
      <w:r w:rsidRPr="00336A87">
        <w:rPr>
          <w:rFonts w:cstheme="minorHAnsi"/>
          <w:b/>
          <w:bCs/>
        </w:rPr>
        <w:t>16</w:t>
      </w:r>
      <w:r w:rsidRPr="00336A87">
        <w:rPr>
          <w:rFonts w:cstheme="minorHAnsi"/>
        </w:rPr>
        <w:t xml:space="preserve">, 163–188, </w:t>
      </w:r>
    </w:p>
    <w:p w14:paraId="301EA3D2" w14:textId="77777777" w:rsidR="00B52D49" w:rsidRPr="00336A87" w:rsidRDefault="00B52D49" w:rsidP="00B52D49">
      <w:pPr>
        <w:spacing w:after="120" w:line="240" w:lineRule="auto"/>
        <w:ind w:left="567" w:hanging="567"/>
        <w:rPr>
          <w:rFonts w:cstheme="minorHAnsi"/>
        </w:rPr>
      </w:pPr>
      <w:r w:rsidRPr="00A5279D">
        <w:rPr>
          <w:rFonts w:eastAsia="Times New Roman" w:cstheme="minorHAnsi"/>
          <w:color w:val="323232"/>
          <w:lang w:eastAsia="zh-CN"/>
        </w:rPr>
        <w:t>Yu, Y.</w:t>
      </w:r>
      <w:r w:rsidRPr="00A5279D">
        <w:rPr>
          <w:rFonts w:eastAsia="Times New Roman" w:cstheme="minorHAnsi"/>
          <w:color w:val="C0C0C0"/>
          <w:lang w:eastAsia="zh-CN"/>
        </w:rPr>
        <w:t>, </w:t>
      </w:r>
      <w:r w:rsidRPr="00A5279D">
        <w:rPr>
          <w:rFonts w:eastAsia="Times New Roman" w:cstheme="minorHAnsi"/>
          <w:color w:val="323232"/>
          <w:lang w:eastAsia="zh-CN"/>
        </w:rPr>
        <w:t>Zhang, C.</w:t>
      </w:r>
      <w:r w:rsidRPr="00A5279D">
        <w:rPr>
          <w:rFonts w:eastAsia="Times New Roman" w:cstheme="minorHAnsi"/>
          <w:color w:val="C0C0C0"/>
          <w:lang w:eastAsia="zh-CN"/>
        </w:rPr>
        <w:t>, </w:t>
      </w:r>
      <w:r w:rsidRPr="00A5279D">
        <w:rPr>
          <w:rFonts w:eastAsia="Times New Roman" w:cstheme="minorHAnsi"/>
          <w:color w:val="323232"/>
          <w:lang w:eastAsia="zh-CN"/>
        </w:rPr>
        <w:t>Xu, X.</w:t>
      </w:r>
      <w:r>
        <w:rPr>
          <w:rFonts w:eastAsia="Times New Roman" w:cstheme="minorHAnsi"/>
          <w:color w:val="323232"/>
          <w:lang w:eastAsia="zh-CN"/>
        </w:rPr>
        <w:t xml:space="preserve"> </w:t>
      </w:r>
      <w:r w:rsidRPr="00336A87">
        <w:rPr>
          <w:rFonts w:eastAsia="Times New Roman" w:cstheme="minorHAnsi"/>
          <w:color w:val="323232"/>
          <w:lang w:eastAsia="zh-CN"/>
        </w:rPr>
        <w:t>2023</w:t>
      </w:r>
      <w:r>
        <w:rPr>
          <w:rFonts w:eastAsia="Times New Roman" w:cstheme="minorHAnsi"/>
          <w:color w:val="323232"/>
          <w:lang w:eastAsia="zh-CN"/>
        </w:rPr>
        <w:t>.</w:t>
      </w:r>
      <w:r w:rsidRPr="00336A87">
        <w:rPr>
          <w:rFonts w:eastAsia="Times New Roman" w:cstheme="minorHAnsi"/>
          <w:color w:val="323232"/>
          <w:lang w:eastAsia="zh-CN"/>
        </w:rPr>
        <w:t xml:space="preserve"> </w:t>
      </w:r>
      <w:r w:rsidRPr="00336A87">
        <w:rPr>
          <w:rFonts w:cstheme="minorHAnsi"/>
          <w:color w:val="323232"/>
          <w:shd w:val="clear" w:color="auto" w:fill="FFFFFF"/>
        </w:rPr>
        <w:t xml:space="preserve">Complex macroevolution of pterosaurs. </w:t>
      </w:r>
      <w:r w:rsidRPr="00336A87">
        <w:rPr>
          <w:rFonts w:cstheme="minorHAnsi"/>
          <w:i/>
          <w:iCs/>
          <w:color w:val="323232"/>
          <w:shd w:val="clear" w:color="auto" w:fill="FFFFFF"/>
        </w:rPr>
        <w:t>Current Biology</w:t>
      </w:r>
      <w:r w:rsidRPr="00336A87">
        <w:rPr>
          <w:rFonts w:cstheme="minorHAnsi"/>
          <w:color w:val="323232"/>
          <w:shd w:val="clear" w:color="auto" w:fill="FFFFFF"/>
        </w:rPr>
        <w:t xml:space="preserve">, </w:t>
      </w:r>
      <w:r w:rsidRPr="00336A87">
        <w:rPr>
          <w:rFonts w:cstheme="minorHAnsi"/>
          <w:b/>
          <w:bCs/>
          <w:color w:val="323232"/>
          <w:shd w:val="clear" w:color="auto" w:fill="FFFFFF"/>
        </w:rPr>
        <w:t>33</w:t>
      </w:r>
      <w:r w:rsidRPr="00336A87">
        <w:rPr>
          <w:rFonts w:cstheme="minorHAnsi"/>
          <w:color w:val="323232"/>
          <w:shd w:val="clear" w:color="auto" w:fill="FFFFFF"/>
        </w:rPr>
        <w:t xml:space="preserve"> (4), 770-779. </w:t>
      </w:r>
      <w:proofErr w:type="spellStart"/>
      <w:r w:rsidRPr="00336A87">
        <w:rPr>
          <w:rFonts w:cstheme="minorHAnsi"/>
          <w:color w:val="323232"/>
          <w:shd w:val="clear" w:color="auto" w:fill="FFFFFF"/>
        </w:rPr>
        <w:t>doi</w:t>
      </w:r>
      <w:proofErr w:type="spellEnd"/>
      <w:r w:rsidRPr="00336A87">
        <w:rPr>
          <w:rFonts w:cstheme="minorHAnsi"/>
          <w:color w:val="323232"/>
          <w:shd w:val="clear" w:color="auto" w:fill="FFFFFF"/>
        </w:rPr>
        <w:t>: 10.1016/j.cub.2023.01.007</w:t>
      </w:r>
      <w:r>
        <w:rPr>
          <w:rFonts w:cstheme="minorHAnsi"/>
        </w:rPr>
        <w:t>.</w:t>
      </w:r>
      <w:r w:rsidRPr="00336A87">
        <w:rPr>
          <w:rFonts w:cstheme="minorHAnsi"/>
        </w:rPr>
        <w:t xml:space="preserve"> </w:t>
      </w:r>
    </w:p>
    <w:p w14:paraId="369D3C24" w14:textId="77777777" w:rsidR="00791804" w:rsidRPr="00D1675B" w:rsidRDefault="00791804" w:rsidP="00DC7AB5">
      <w:pPr>
        <w:pStyle w:val="NoSpacing"/>
        <w:rPr>
          <w:bCs/>
        </w:rPr>
      </w:pPr>
    </w:p>
    <w:p w14:paraId="491905BF" w14:textId="77777777" w:rsidR="00791804" w:rsidRPr="00D1675B" w:rsidRDefault="00791804" w:rsidP="00DC7AB5">
      <w:pPr>
        <w:pStyle w:val="NoSpacing"/>
        <w:rPr>
          <w:bCs/>
        </w:rPr>
      </w:pPr>
    </w:p>
    <w:p w14:paraId="5FFE53F7" w14:textId="77777777" w:rsidR="00791804" w:rsidRDefault="00791804" w:rsidP="00186CBA">
      <w:pPr>
        <w:ind w:left="1440" w:hanging="1440"/>
        <w:rPr>
          <w:b/>
        </w:rPr>
      </w:pPr>
      <w:r w:rsidRPr="00D1675B">
        <w:rPr>
          <w:b/>
        </w:rPr>
        <w:t xml:space="preserve">Funding details: </w:t>
      </w:r>
    </w:p>
    <w:p w14:paraId="3AE813EE" w14:textId="77777777" w:rsidR="00791804" w:rsidRPr="005A16DA" w:rsidRDefault="00791804" w:rsidP="001A22DD">
      <w:r>
        <w:t xml:space="preserve">NERC </w:t>
      </w:r>
      <w:r w:rsidRPr="005A16DA">
        <w:t>CENTA studentships are for 3.5 years and are funded by NERC. In addition to the full payment of your tuition fees, you will receive the following financial support:</w:t>
      </w:r>
    </w:p>
    <w:p w14:paraId="74516C32" w14:textId="77777777" w:rsidR="00791804" w:rsidRPr="005A16DA" w:rsidRDefault="00791804"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72B0B917" w14:textId="77777777" w:rsidR="00791804" w:rsidRPr="005A16DA" w:rsidRDefault="00791804" w:rsidP="001A22DD">
      <w:pPr>
        <w:numPr>
          <w:ilvl w:val="0"/>
          <w:numId w:val="8"/>
        </w:numPr>
      </w:pPr>
      <w:r w:rsidRPr="005A16DA">
        <w:t>Research training support grant</w:t>
      </w:r>
      <w:r>
        <w:t xml:space="preserve"> £8,000</w:t>
      </w:r>
      <w:r w:rsidRPr="005A16DA">
        <w:t xml:space="preserve"> (RTSG)</w:t>
      </w:r>
    </w:p>
    <w:p w14:paraId="00B99C2C" w14:textId="77777777" w:rsidR="00791804" w:rsidRDefault="00791804" w:rsidP="001A22DD">
      <w:r>
        <w:t>If you are not eligible for UK Fees the University of Leicester will fund the difference between UK and International fees for the duration of your studies</w:t>
      </w:r>
    </w:p>
    <w:p w14:paraId="6BA8FE5A" w14:textId="77777777" w:rsidR="00791804" w:rsidRDefault="00791804" w:rsidP="001A22DD">
      <w:r>
        <w:t xml:space="preserve">For more details of the CENTA consortium please see the CENTA website: www.centa.org.uk. </w:t>
      </w:r>
    </w:p>
    <w:p w14:paraId="4D32AFA4" w14:textId="77777777" w:rsidR="00791804" w:rsidRPr="00D1675B" w:rsidRDefault="00791804" w:rsidP="00DC7AB5">
      <w:pPr>
        <w:spacing w:after="0" w:line="240" w:lineRule="auto"/>
        <w:rPr>
          <w:b/>
        </w:rPr>
      </w:pPr>
      <w:r w:rsidRPr="00D1675B">
        <w:rPr>
          <w:b/>
        </w:rPr>
        <w:t>Entry requirements:</w:t>
      </w:r>
    </w:p>
    <w:p w14:paraId="2C891001" w14:textId="77777777" w:rsidR="00791804" w:rsidRPr="00D1675B" w:rsidRDefault="00791804" w:rsidP="00B24449">
      <w:r w:rsidRPr="00D1675B">
        <w:t xml:space="preserve">Applicants are required to hold/or expect to obtain a UK Bachelor Degree 2:1 or better in a relevant subject.  </w:t>
      </w:r>
    </w:p>
    <w:p w14:paraId="2137BFA5" w14:textId="77777777" w:rsidR="00791804" w:rsidRPr="001A22DD" w:rsidRDefault="00791804" w:rsidP="000B797E">
      <w:r w:rsidRPr="00D1675B">
        <w:t xml:space="preserve">The University of Leicester </w:t>
      </w:r>
      <w:hyperlink r:id="rId11" w:history="1">
        <w:r w:rsidRPr="008B235E">
          <w:rPr>
            <w:rStyle w:val="Hyperlink"/>
            <w:color w:val="auto"/>
            <w:u w:val="none"/>
          </w:rPr>
          <w:t>English language</w:t>
        </w:r>
      </w:hyperlink>
      <w:r w:rsidRPr="00D1675B">
        <w:t xml:space="preserve"> requirements apply where applicable.</w:t>
      </w:r>
    </w:p>
    <w:p w14:paraId="72BFE924" w14:textId="77777777" w:rsidR="00791804" w:rsidRDefault="00791804" w:rsidP="00186CBA">
      <w:pPr>
        <w:ind w:left="1440" w:hanging="1440"/>
        <w:rPr>
          <w:b/>
        </w:rPr>
      </w:pPr>
    </w:p>
    <w:p w14:paraId="475FFFDE" w14:textId="77777777" w:rsidR="00791804" w:rsidRPr="00D1675B" w:rsidRDefault="00791804" w:rsidP="00186CBA">
      <w:pPr>
        <w:ind w:left="1440" w:hanging="1440"/>
        <w:rPr>
          <w:b/>
        </w:rPr>
      </w:pPr>
      <w:r>
        <w:rPr>
          <w:b/>
        </w:rPr>
        <w:t>Application advice:</w:t>
      </w:r>
    </w:p>
    <w:p w14:paraId="790DB1C1" w14:textId="77777777" w:rsidR="00563AD0" w:rsidRPr="00563AD0" w:rsidRDefault="00563AD0" w:rsidP="00563AD0">
      <w:pPr>
        <w:shd w:val="clear" w:color="auto" w:fill="FFFFFF"/>
        <w:spacing w:after="0" w:line="240" w:lineRule="auto"/>
      </w:pPr>
      <w:r w:rsidRPr="00563AD0">
        <w:t>To apply please refer to our web page for further information and read carefully the How to Apply section before submitting your application</w:t>
      </w:r>
    </w:p>
    <w:p w14:paraId="2857D765" w14:textId="664F76BD" w:rsidR="00563AD0" w:rsidRPr="00563AD0" w:rsidRDefault="00563AD0" w:rsidP="00563AD0">
      <w:pPr>
        <w:shd w:val="clear" w:color="auto" w:fill="FFFFFF"/>
        <w:spacing w:after="0" w:line="240" w:lineRule="auto"/>
      </w:pPr>
      <w:hyperlink r:id="rId12" w:history="1">
        <w:r w:rsidRPr="00563AD0">
          <w:rPr>
            <w:rStyle w:val="Hyperlink"/>
          </w:rPr>
          <w:t>https://le.ac.uk/study/research-degrees/funded-opportunities/centa-phd-studentships</w:t>
        </w:r>
      </w:hyperlink>
    </w:p>
    <w:p w14:paraId="634B1A3D" w14:textId="77777777" w:rsidR="00563AD0" w:rsidRDefault="00563AD0" w:rsidP="00563AD0">
      <w:pPr>
        <w:shd w:val="clear" w:color="auto" w:fill="FFFFFF"/>
        <w:spacing w:after="0" w:line="240" w:lineRule="auto"/>
        <w:rPr>
          <w:b/>
          <w:bCs/>
        </w:rPr>
      </w:pPr>
    </w:p>
    <w:p w14:paraId="7B8DA06A" w14:textId="67D7F7D2" w:rsidR="00791804" w:rsidRDefault="00791804" w:rsidP="00563AD0">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CENTA2-SGGE3-UNWI</w:t>
      </w:r>
    </w:p>
    <w:p w14:paraId="035000EA" w14:textId="77777777" w:rsidR="00791804" w:rsidRDefault="00791804" w:rsidP="00BD3138">
      <w:pPr>
        <w:shd w:val="clear" w:color="auto" w:fill="FFFFFF"/>
        <w:spacing w:after="0" w:line="240" w:lineRule="auto"/>
        <w:rPr>
          <w:rFonts w:eastAsia="Times New Roman" w:cstheme="minorHAnsi"/>
          <w:color w:val="3C3C3C"/>
          <w:shd w:val="clear" w:color="auto" w:fill="FFFFFF"/>
          <w:lang w:eastAsia="en-GB"/>
        </w:rPr>
      </w:pPr>
    </w:p>
    <w:p w14:paraId="2F3FD4F8" w14:textId="77777777" w:rsidR="00791804" w:rsidRPr="00E7657A" w:rsidRDefault="00791804"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3ED9FE45" w14:textId="77777777" w:rsidR="00791804" w:rsidRPr="00D1675B" w:rsidRDefault="00791804" w:rsidP="00186CBA">
      <w:pPr>
        <w:rPr>
          <w:rFonts w:cstheme="minorHAnsi"/>
          <w:color w:val="FF0000"/>
        </w:rPr>
      </w:pPr>
    </w:p>
    <w:p w14:paraId="4BFC752F" w14:textId="16E08BB0" w:rsidR="00791804" w:rsidRPr="00D1675B" w:rsidRDefault="00791804"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3" w:history="1">
        <w:r w:rsidRPr="00457114">
          <w:rPr>
            <w:rStyle w:val="Hyperlink"/>
            <w:rFonts w:cstheme="minorHAnsi"/>
            <w:b/>
          </w:rPr>
          <w:t>CENTA@le.ac.uk</w:t>
        </w:r>
      </w:hyperlink>
      <w:r w:rsidRPr="00457114">
        <w:rPr>
          <w:rFonts w:cstheme="minorHAnsi"/>
          <w:b/>
        </w:rPr>
        <w:t xml:space="preserve"> or</w:t>
      </w:r>
      <w:r w:rsidRPr="00B52D49">
        <w:rPr>
          <w:rFonts w:cstheme="minorHAnsi"/>
          <w:b/>
          <w:bCs/>
        </w:rPr>
        <w:t xml:space="preserve"> </w:t>
      </w:r>
      <w:hyperlink r:id="rId14" w:history="1">
        <w:r w:rsidR="00B52D49" w:rsidRPr="00B52D49">
          <w:rPr>
            <w:rStyle w:val="Hyperlink"/>
            <w:rFonts w:ascii="Calibri" w:eastAsia="Calibri" w:hAnsi="Calibri" w:cs="Calibri"/>
            <w:b/>
            <w:bCs/>
            <w:lang w:val="en-US"/>
          </w:rPr>
          <w:t>dmu1@le.ac.uk</w:t>
        </w:r>
      </w:hyperlink>
      <w:r w:rsidR="00B52D49" w:rsidRPr="00B52D49">
        <w:rPr>
          <w:rFonts w:ascii="Calibri" w:eastAsia="Calibri" w:hAnsi="Calibri" w:cs="Calibri"/>
          <w:b/>
          <w:bCs/>
          <w:lang w:val="en-US"/>
        </w:rPr>
        <w:t xml:space="preserve"> </w:t>
      </w:r>
    </w:p>
    <w:p w14:paraId="2F2856EE" w14:textId="77777777" w:rsidR="00791804" w:rsidRDefault="00791804" w:rsidP="00186CBA">
      <w:pPr>
        <w:rPr>
          <w:b/>
        </w:rPr>
      </w:pPr>
      <w:r w:rsidRPr="00D1675B">
        <w:rPr>
          <w:rFonts w:cstheme="minorHAnsi"/>
          <w:b/>
        </w:rPr>
        <w:t xml:space="preserve">Application enquiries to </w:t>
      </w:r>
      <w:hyperlink r:id="rId15"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791804" w:rsidRPr="00B90549" w14:paraId="35D5609E" w14:textId="77777777" w:rsidTr="00B90549">
        <w:trPr>
          <w:tblCellSpacing w:w="0" w:type="dxa"/>
        </w:trPr>
        <w:tc>
          <w:tcPr>
            <w:tcW w:w="0" w:type="auto"/>
            <w:tcMar>
              <w:top w:w="0" w:type="dxa"/>
              <w:left w:w="150" w:type="dxa"/>
              <w:bottom w:w="0" w:type="dxa"/>
              <w:right w:w="0" w:type="dxa"/>
            </w:tcMar>
          </w:tcPr>
          <w:p w14:paraId="399BAD8C" w14:textId="77777777" w:rsidR="00791804" w:rsidRPr="00B90549" w:rsidRDefault="00791804" w:rsidP="00B90549">
            <w:pPr>
              <w:rPr>
                <w:b/>
              </w:rPr>
            </w:pPr>
          </w:p>
        </w:tc>
        <w:tc>
          <w:tcPr>
            <w:tcW w:w="0" w:type="auto"/>
          </w:tcPr>
          <w:p w14:paraId="245D9978" w14:textId="77777777" w:rsidR="00791804" w:rsidRPr="00B90549" w:rsidRDefault="00791804" w:rsidP="00B90549">
            <w:pPr>
              <w:rPr>
                <w:b/>
              </w:rPr>
            </w:pPr>
          </w:p>
        </w:tc>
      </w:tr>
    </w:tbl>
    <w:p w14:paraId="55E866F0" w14:textId="77777777" w:rsidR="00791804" w:rsidRDefault="00791804" w:rsidP="00186CBA">
      <w:pPr>
        <w:rPr>
          <w:b/>
        </w:rPr>
        <w:sectPr w:rsidR="00791804" w:rsidSect="00791804">
          <w:pgSz w:w="11906" w:h="16838"/>
          <w:pgMar w:top="1440" w:right="1440" w:bottom="1440" w:left="1440" w:header="708" w:footer="708" w:gutter="0"/>
          <w:pgNumType w:start="1"/>
          <w:cols w:space="708"/>
          <w:docGrid w:linePitch="360"/>
        </w:sectPr>
      </w:pPr>
    </w:p>
    <w:p w14:paraId="4FC1E159" w14:textId="77777777" w:rsidR="00791804" w:rsidRPr="00D1675B" w:rsidRDefault="00791804" w:rsidP="00186CBA">
      <w:pPr>
        <w:rPr>
          <w:b/>
        </w:rPr>
      </w:pPr>
    </w:p>
    <w:sectPr w:rsidR="00791804" w:rsidRPr="00D1675B" w:rsidSect="0079180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330074"/>
    <w:rsid w:val="003A7DE6"/>
    <w:rsid w:val="003E3E31"/>
    <w:rsid w:val="00414D13"/>
    <w:rsid w:val="00457114"/>
    <w:rsid w:val="004C2F09"/>
    <w:rsid w:val="005123C1"/>
    <w:rsid w:val="00563AD0"/>
    <w:rsid w:val="005F7F9C"/>
    <w:rsid w:val="00686A5A"/>
    <w:rsid w:val="00704D43"/>
    <w:rsid w:val="00791804"/>
    <w:rsid w:val="00797C94"/>
    <w:rsid w:val="008862CC"/>
    <w:rsid w:val="0089276A"/>
    <w:rsid w:val="008B235E"/>
    <w:rsid w:val="00934C02"/>
    <w:rsid w:val="00A5584E"/>
    <w:rsid w:val="00B24449"/>
    <w:rsid w:val="00B52D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48EE"/>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B52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612052439">
      <w:bodyDiv w:val="1"/>
      <w:marLeft w:val="0"/>
      <w:marRight w:val="0"/>
      <w:marTop w:val="0"/>
      <w:marBottom w:val="0"/>
      <w:divBdr>
        <w:top w:val="none" w:sz="0" w:space="0" w:color="auto"/>
        <w:left w:val="none" w:sz="0" w:space="0" w:color="auto"/>
        <w:bottom w:val="none" w:sz="0" w:space="0" w:color="auto"/>
        <w:right w:val="none" w:sz="0" w:space="0" w:color="auto"/>
      </w:divBdr>
    </w:div>
    <w:div w:id="979698925">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utler.1@bham.ac.uk" TargetMode="External"/><Relationship Id="rId13" Type="http://schemas.openxmlformats.org/officeDocument/2006/relationships/hyperlink" Target="mailto:CENTA@le.ac.uk" TargetMode="External"/><Relationship Id="rId3" Type="http://schemas.openxmlformats.org/officeDocument/2006/relationships/styles" Target="styles.xml"/><Relationship Id="rId7" Type="http://schemas.openxmlformats.org/officeDocument/2006/relationships/hyperlink" Target="mailto:thph2@le.ac.uk" TargetMode="External"/><Relationship Id="rId12" Type="http://schemas.openxmlformats.org/officeDocument/2006/relationships/hyperlink" Target="https://le.ac.uk/study/research-degrees/funded-opportunities/centa-phd-student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mu1@le.ac.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hyperlink" Target="mailto:pgradmissions@le.ac.uk"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S.Lautenschlager.bham.ac.uk" TargetMode="External"/><Relationship Id="rId14" Type="http://schemas.openxmlformats.org/officeDocument/2006/relationships/hyperlink" Target="mailto:dmu1@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2023-10-03T11:12:00Z</dcterms:created>
  <dcterms:modified xsi:type="dcterms:W3CDTF">2023-10-19T13:45:00Z</dcterms:modified>
</cp:coreProperties>
</file>