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74"/>
      </w:tblGrid>
      <w:tr w:rsidR="008B284F" w14:paraId="2F1F3341" w14:textId="77777777" w:rsidTr="00126BD4">
        <w:tc>
          <w:tcPr>
            <w:tcW w:w="5382" w:type="dxa"/>
          </w:tcPr>
          <w:p w14:paraId="1D58C33A" w14:textId="77777777" w:rsidR="008B284F" w:rsidRDefault="003934F4" w:rsidP="008B284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3EDA8F3" wp14:editId="0F77466D">
                  <wp:extent cx="3143250" cy="857250"/>
                  <wp:effectExtent l="0" t="0" r="0" b="0"/>
                  <wp:docPr id="1" name="Picture 6" descr="cid:image002.gif@01D0F5EE.FB1F79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cid:image002.gif@01D0F5EE.FB1F79F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vAlign w:val="center"/>
          </w:tcPr>
          <w:p w14:paraId="71464057" w14:textId="77777777" w:rsidR="008B284F" w:rsidRPr="008B284F" w:rsidRDefault="008B284F" w:rsidP="008B284F">
            <w:pPr>
              <w:spacing w:before="120" w:after="120"/>
              <w:contextualSpacing/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 w:rsidRPr="008B284F">
              <w:rPr>
                <w:rFonts w:ascii="Calibri" w:hAnsi="Calibri" w:cs="Arial"/>
                <w:b/>
                <w:sz w:val="36"/>
                <w:szCs w:val="32"/>
              </w:rPr>
              <w:t>Procurement Strategy Checklist</w:t>
            </w:r>
          </w:p>
        </w:tc>
      </w:tr>
    </w:tbl>
    <w:p w14:paraId="5AFE22F2" w14:textId="77777777" w:rsidR="008B284F" w:rsidRPr="00D15C9F" w:rsidRDefault="008B284F" w:rsidP="00EC7B95">
      <w:pPr>
        <w:rPr>
          <w:rFonts w:ascii="Calibri" w:hAnsi="Calibri" w:cs="Arial"/>
          <w:b/>
          <w:sz w:val="22"/>
          <w:szCs w:val="22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66"/>
      </w:tblGrid>
      <w:tr w:rsidR="000C0A18" w:rsidRPr="00D15C9F" w14:paraId="746D4007" w14:textId="77777777" w:rsidTr="000C3C46">
        <w:tc>
          <w:tcPr>
            <w:tcW w:w="3348" w:type="dxa"/>
            <w:shd w:val="clear" w:color="auto" w:fill="E6E6E6"/>
            <w:vAlign w:val="center"/>
          </w:tcPr>
          <w:p w14:paraId="628F920D" w14:textId="77777777" w:rsidR="000C0A18" w:rsidRPr="00D15C9F" w:rsidRDefault="004413E1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  <w:r w:rsidRPr="00D15C9F">
              <w:rPr>
                <w:rFonts w:ascii="Calibri" w:hAnsi="Calibri" w:cs="Arial"/>
                <w:b/>
              </w:rPr>
              <w:t>LUV Ref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8E2EB64" w14:textId="77777777" w:rsidR="000C0A18" w:rsidRPr="00D15C9F" w:rsidRDefault="000C0A18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</w:p>
        </w:tc>
      </w:tr>
      <w:tr w:rsidR="000C0A18" w:rsidRPr="00D15C9F" w14:paraId="22862AB7" w14:textId="77777777" w:rsidTr="000C3C46">
        <w:tc>
          <w:tcPr>
            <w:tcW w:w="3348" w:type="dxa"/>
            <w:shd w:val="clear" w:color="auto" w:fill="E6E6E6"/>
            <w:vAlign w:val="center"/>
          </w:tcPr>
          <w:p w14:paraId="1E3E518B" w14:textId="77777777" w:rsidR="000C0A18" w:rsidRPr="00D15C9F" w:rsidRDefault="000C0A18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  <w:r w:rsidRPr="00D15C9F">
              <w:rPr>
                <w:rFonts w:ascii="Calibri" w:hAnsi="Calibri" w:cs="Arial"/>
                <w:b/>
              </w:rPr>
              <w:t>Procurement Project Title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7CB04DB" w14:textId="77777777" w:rsidR="000C0A18" w:rsidRPr="00D15C9F" w:rsidRDefault="000C0A18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</w:p>
        </w:tc>
      </w:tr>
      <w:tr w:rsidR="009010ED" w:rsidRPr="00D15C9F" w14:paraId="6668D735" w14:textId="77777777" w:rsidTr="000C3C46">
        <w:tc>
          <w:tcPr>
            <w:tcW w:w="3348" w:type="dxa"/>
            <w:shd w:val="clear" w:color="auto" w:fill="E6E6E6"/>
            <w:vAlign w:val="center"/>
          </w:tcPr>
          <w:p w14:paraId="10216A34" w14:textId="77777777" w:rsidR="009010ED" w:rsidRPr="00D15C9F" w:rsidRDefault="009010ED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Departmental Procurer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CF3F773" w14:textId="77777777" w:rsidR="009010ED" w:rsidRPr="00D15C9F" w:rsidRDefault="009010ED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</w:p>
        </w:tc>
      </w:tr>
      <w:tr w:rsidR="000C0A18" w:rsidRPr="00D15C9F" w14:paraId="23F0BA6C" w14:textId="77777777" w:rsidTr="000C3C46">
        <w:tc>
          <w:tcPr>
            <w:tcW w:w="3348" w:type="dxa"/>
            <w:shd w:val="clear" w:color="auto" w:fill="E6E6E6"/>
            <w:vAlign w:val="center"/>
          </w:tcPr>
          <w:p w14:paraId="5F1503C3" w14:textId="77777777" w:rsidR="000C0A18" w:rsidRPr="00D15C9F" w:rsidRDefault="004413E1" w:rsidP="00337DCC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  <w:r w:rsidRPr="00D15C9F">
              <w:rPr>
                <w:rFonts w:ascii="Calibri" w:hAnsi="Calibri" w:cs="Arial"/>
                <w:b/>
              </w:rPr>
              <w:t>Procurement Unit Lead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43E452D" w14:textId="77777777" w:rsidR="000C0A18" w:rsidRPr="00D15C9F" w:rsidRDefault="000C0A18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</w:p>
        </w:tc>
      </w:tr>
      <w:tr w:rsidR="004413E1" w:rsidRPr="00D15C9F" w14:paraId="372E182D" w14:textId="77777777" w:rsidTr="000C3C46">
        <w:tc>
          <w:tcPr>
            <w:tcW w:w="3348" w:type="dxa"/>
            <w:shd w:val="clear" w:color="auto" w:fill="E6E6E6"/>
            <w:vAlign w:val="center"/>
          </w:tcPr>
          <w:p w14:paraId="652C8A5D" w14:textId="77777777" w:rsidR="004413E1" w:rsidRPr="00D15C9F" w:rsidRDefault="004413E1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  <w:r w:rsidRPr="00D15C9F">
              <w:rPr>
                <w:rFonts w:ascii="Calibri" w:hAnsi="Calibri" w:cs="Arial"/>
                <w:b/>
              </w:rPr>
              <w:t>Date Checklist Completed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8C4F669" w14:textId="77777777" w:rsidR="004413E1" w:rsidRPr="00D15C9F" w:rsidRDefault="004413E1" w:rsidP="000C3C46">
            <w:pPr>
              <w:spacing w:before="60" w:after="60" w:line="276" w:lineRule="auto"/>
              <w:rPr>
                <w:rFonts w:ascii="Calibri" w:hAnsi="Calibri" w:cs="Arial"/>
                <w:b/>
              </w:rPr>
            </w:pPr>
          </w:p>
        </w:tc>
      </w:tr>
    </w:tbl>
    <w:p w14:paraId="7E623DE7" w14:textId="77777777" w:rsidR="002746B6" w:rsidRPr="00D15C9F" w:rsidRDefault="002746B6" w:rsidP="000C0A18">
      <w:pPr>
        <w:rPr>
          <w:rFonts w:ascii="Calibri" w:hAnsi="Calibri" w:cs="Arial"/>
          <w:b/>
          <w:sz w:val="22"/>
          <w:szCs w:val="22"/>
        </w:rPr>
      </w:pPr>
    </w:p>
    <w:p w14:paraId="19EDB2AB" w14:textId="77777777" w:rsidR="007C4A27" w:rsidRPr="00D15C9F" w:rsidRDefault="007C4A27" w:rsidP="0049421D">
      <w:pPr>
        <w:jc w:val="both"/>
        <w:rPr>
          <w:rFonts w:ascii="Calibri" w:hAnsi="Calibri" w:cs="Arial"/>
          <w:i/>
        </w:rPr>
      </w:pPr>
      <w:r w:rsidRPr="00D15C9F">
        <w:rPr>
          <w:rFonts w:ascii="Calibri" w:hAnsi="Calibri" w:cs="Arial"/>
          <w:i/>
        </w:rPr>
        <w:t xml:space="preserve">The following checklist is </w:t>
      </w:r>
      <w:r w:rsidR="00311230" w:rsidRPr="00D15C9F">
        <w:rPr>
          <w:rFonts w:ascii="Calibri" w:hAnsi="Calibri" w:cs="Arial"/>
          <w:i/>
        </w:rPr>
        <w:t>to assist in ensuring that key elements of the procurement strategy have been considered</w:t>
      </w:r>
      <w:r w:rsidR="00313133" w:rsidRPr="00A31A40">
        <w:rPr>
          <w:rFonts w:ascii="Calibri" w:hAnsi="Calibri" w:cs="Arial"/>
          <w:i/>
        </w:rPr>
        <w:t>.</w:t>
      </w:r>
    </w:p>
    <w:p w14:paraId="4EEC0564" w14:textId="77777777" w:rsidR="007C4A27" w:rsidRPr="00D15C9F" w:rsidRDefault="007C4A27" w:rsidP="000C0A18">
      <w:pPr>
        <w:rPr>
          <w:rFonts w:ascii="Calibri" w:hAnsi="Calibri" w:cs="Arial"/>
          <w:b/>
          <w:sz w:val="22"/>
          <w:szCs w:val="22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39"/>
        <w:gridCol w:w="4341"/>
        <w:gridCol w:w="538"/>
        <w:gridCol w:w="3405"/>
      </w:tblGrid>
      <w:tr w:rsidR="002746B6" w:rsidRPr="000C3C46" w14:paraId="5C9B45EB" w14:textId="77777777" w:rsidTr="00126BD4">
        <w:trPr>
          <w:tblHeader/>
        </w:trPr>
        <w:tc>
          <w:tcPr>
            <w:tcW w:w="562" w:type="dxa"/>
            <w:shd w:val="clear" w:color="auto" w:fill="E6E6E6"/>
            <w:vAlign w:val="bottom"/>
          </w:tcPr>
          <w:p w14:paraId="4F979ACE" w14:textId="77777777" w:rsidR="002746B6" w:rsidRPr="000C3C46" w:rsidRDefault="002746B6" w:rsidP="000C3C46">
            <w:pPr>
              <w:spacing w:before="60" w:after="60" w:line="276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0C3C46">
              <w:rPr>
                <w:rFonts w:ascii="Calibri" w:hAnsi="Calibri" w:cs="Arial"/>
                <w:b/>
                <w:szCs w:val="22"/>
              </w:rPr>
              <w:t>No.</w:t>
            </w:r>
          </w:p>
        </w:tc>
        <w:tc>
          <w:tcPr>
            <w:tcW w:w="4876" w:type="dxa"/>
            <w:gridSpan w:val="2"/>
            <w:shd w:val="clear" w:color="auto" w:fill="E6E6E6"/>
            <w:vAlign w:val="bottom"/>
          </w:tcPr>
          <w:p w14:paraId="061AA3A3" w14:textId="77777777" w:rsidR="002746B6" w:rsidRPr="000C3C46" w:rsidRDefault="00D747CA" w:rsidP="000C3C46">
            <w:pPr>
              <w:spacing w:before="60" w:after="60" w:line="276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0C3C46">
              <w:rPr>
                <w:rFonts w:ascii="Calibri" w:hAnsi="Calibri" w:cs="Arial"/>
                <w:b/>
                <w:szCs w:val="22"/>
              </w:rPr>
              <w:t>Check</w:t>
            </w:r>
          </w:p>
        </w:tc>
        <w:tc>
          <w:tcPr>
            <w:tcW w:w="539" w:type="dxa"/>
            <w:shd w:val="clear" w:color="auto" w:fill="E6E6E6"/>
            <w:vAlign w:val="bottom"/>
          </w:tcPr>
          <w:p w14:paraId="47044CAD" w14:textId="77777777" w:rsidR="002746B6" w:rsidRPr="000C3C46" w:rsidRDefault="00D747CA" w:rsidP="000C3C46">
            <w:pPr>
              <w:spacing w:before="60" w:after="60" w:line="276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0C3C46">
              <w:rPr>
                <w:rFonts w:ascii="Calibri" w:hAnsi="Calibri" w:cs="Arial"/>
                <w:b/>
                <w:szCs w:val="22"/>
              </w:rPr>
              <w:sym w:font="Wingdings" w:char="F0FC"/>
            </w:r>
          </w:p>
        </w:tc>
        <w:tc>
          <w:tcPr>
            <w:tcW w:w="3415" w:type="dxa"/>
            <w:shd w:val="clear" w:color="auto" w:fill="E6E6E6"/>
            <w:vAlign w:val="bottom"/>
          </w:tcPr>
          <w:p w14:paraId="0AFE65FD" w14:textId="77777777" w:rsidR="002746B6" w:rsidRPr="000C3C46" w:rsidRDefault="002746B6" w:rsidP="000C3C46">
            <w:pPr>
              <w:spacing w:before="60" w:after="60" w:line="276" w:lineRule="auto"/>
              <w:jc w:val="center"/>
              <w:rPr>
                <w:rFonts w:ascii="Calibri" w:hAnsi="Calibri" w:cs="Arial"/>
                <w:b/>
                <w:szCs w:val="22"/>
              </w:rPr>
            </w:pPr>
            <w:r w:rsidRPr="000C3C46">
              <w:rPr>
                <w:rFonts w:ascii="Calibri" w:hAnsi="Calibri" w:cs="Arial"/>
                <w:b/>
                <w:szCs w:val="22"/>
              </w:rPr>
              <w:t>Note</w:t>
            </w:r>
          </w:p>
        </w:tc>
      </w:tr>
      <w:tr w:rsidR="002746B6" w:rsidRPr="000C3C46" w14:paraId="1BDD921A" w14:textId="77777777" w:rsidTr="00126BD4">
        <w:tc>
          <w:tcPr>
            <w:tcW w:w="562" w:type="dxa"/>
            <w:shd w:val="clear" w:color="auto" w:fill="auto"/>
          </w:tcPr>
          <w:p w14:paraId="4BD62C40" w14:textId="77777777" w:rsidR="002746B6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726C71F5" w14:textId="77777777" w:rsidR="002746B6" w:rsidRPr="000C3C46" w:rsidRDefault="00D747CA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A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>lign</w:t>
            </w:r>
            <w:r w:rsidRPr="000C3C46">
              <w:rPr>
                <w:rFonts w:ascii="Calibri" w:hAnsi="Calibri" w:cs="Arial"/>
                <w:sz w:val="22"/>
                <w:szCs w:val="22"/>
              </w:rPr>
              <w:t>ment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 xml:space="preserve"> with </w:t>
            </w:r>
            <w:r w:rsidR="00236F78" w:rsidRPr="000C3C46">
              <w:rPr>
                <w:rFonts w:ascii="Calibri" w:hAnsi="Calibri" w:cs="Arial"/>
                <w:sz w:val="22"/>
                <w:szCs w:val="22"/>
              </w:rPr>
              <w:t>University</w:t>
            </w:r>
            <w:r w:rsidR="00A958A0" w:rsidRPr="000C3C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46B6" w:rsidRPr="000C3C46">
              <w:rPr>
                <w:rFonts w:ascii="Calibri" w:hAnsi="Calibri" w:cs="Arial"/>
                <w:b/>
                <w:sz w:val="22"/>
                <w:szCs w:val="22"/>
              </w:rPr>
              <w:t>policies/strategies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455CB49F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08A11E7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46B6" w:rsidRPr="000C3C46" w14:paraId="79B75D77" w14:textId="77777777" w:rsidTr="00126BD4">
        <w:tc>
          <w:tcPr>
            <w:tcW w:w="562" w:type="dxa"/>
            <w:shd w:val="clear" w:color="auto" w:fill="auto"/>
          </w:tcPr>
          <w:p w14:paraId="1E3AB85A" w14:textId="77777777" w:rsidR="002746B6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DBF246B" w14:textId="77777777" w:rsidR="00C35EE3" w:rsidRDefault="00D747CA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2746B6" w:rsidRPr="000C3C46">
              <w:rPr>
                <w:rFonts w:ascii="Calibri" w:hAnsi="Calibri" w:cs="Arial"/>
                <w:b/>
                <w:sz w:val="22"/>
                <w:szCs w:val="22"/>
              </w:rPr>
              <w:t>usiness case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 xml:space="preserve"> for the procurement</w:t>
            </w:r>
            <w:r w:rsidR="00C35EE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E21CC">
              <w:rPr>
                <w:rFonts w:ascii="Calibri" w:hAnsi="Calibri" w:cs="Arial"/>
                <w:sz w:val="22"/>
                <w:szCs w:val="22"/>
              </w:rPr>
              <w:t xml:space="preserve">particularly where a new requirement, </w:t>
            </w:r>
            <w:r w:rsidR="00C35EE3">
              <w:rPr>
                <w:rFonts w:ascii="Calibri" w:hAnsi="Calibri" w:cs="Arial"/>
                <w:sz w:val="22"/>
                <w:szCs w:val="22"/>
              </w:rPr>
              <w:t>including:</w:t>
            </w:r>
          </w:p>
          <w:p w14:paraId="38E500E7" w14:textId="77777777" w:rsidR="00C35EE3" w:rsidRDefault="00C35EE3" w:rsidP="00C35EE3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45" w:hanging="34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Options appraisal</w:t>
            </w:r>
            <w:r w:rsidR="002746B6" w:rsidRPr="00C35EE3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44606433" w14:textId="77777777" w:rsidR="002746B6" w:rsidRPr="00C35EE3" w:rsidRDefault="00C35EE3" w:rsidP="00C35EE3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45" w:hanging="34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Recognition of dependencies and attributable (integration) costs?</w:t>
            </w:r>
            <w:r w:rsidR="002746B6" w:rsidRPr="00C35EE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14:paraId="40F0E0E7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3F0D8BA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F281F" w:rsidRPr="000C3C46" w14:paraId="276AA3D9" w14:textId="77777777" w:rsidTr="00126BD4">
        <w:tc>
          <w:tcPr>
            <w:tcW w:w="562" w:type="dxa"/>
            <w:shd w:val="clear" w:color="auto" w:fill="auto"/>
          </w:tcPr>
          <w:p w14:paraId="0A898EDA" w14:textId="77777777" w:rsidR="006F281F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5A39F4F8" w14:textId="77777777" w:rsidR="006F281F" w:rsidRPr="000C3C46" w:rsidRDefault="00A958A0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="006F281F" w:rsidRPr="000C3C46">
              <w:rPr>
                <w:rFonts w:ascii="Calibri" w:hAnsi="Calibri" w:cs="Arial"/>
                <w:b/>
                <w:sz w:val="22"/>
                <w:szCs w:val="22"/>
              </w:rPr>
              <w:t>otal contract value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known</w:t>
            </w:r>
            <w:r w:rsidR="006F281F" w:rsidRPr="000C3C46">
              <w:rPr>
                <w:rFonts w:ascii="Calibri" w:hAnsi="Calibri" w:cs="Arial"/>
                <w:sz w:val="22"/>
                <w:szCs w:val="22"/>
              </w:rPr>
              <w:t>, including firm period and extension options?</w:t>
            </w:r>
          </w:p>
        </w:tc>
        <w:tc>
          <w:tcPr>
            <w:tcW w:w="539" w:type="dxa"/>
            <w:shd w:val="clear" w:color="auto" w:fill="auto"/>
          </w:tcPr>
          <w:p w14:paraId="7C77BBA3" w14:textId="77777777" w:rsidR="006F281F" w:rsidRPr="000C3C46" w:rsidRDefault="006F281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8664B7C" w14:textId="77777777" w:rsidR="006F281F" w:rsidRPr="000C3C46" w:rsidRDefault="006F281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46331" w:rsidRPr="000C3C46" w14:paraId="5D25B27F" w14:textId="77777777" w:rsidTr="00126BD4">
        <w:tc>
          <w:tcPr>
            <w:tcW w:w="562" w:type="dxa"/>
            <w:shd w:val="clear" w:color="auto" w:fill="auto"/>
          </w:tcPr>
          <w:p w14:paraId="411C8077" w14:textId="77777777" w:rsidR="00D46331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7D793DC1" w14:textId="77777777" w:rsidR="00B43C86" w:rsidRDefault="00D46331" w:rsidP="00672132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Budget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in place?</w:t>
            </w:r>
            <w:r w:rsidR="00672132">
              <w:rPr>
                <w:rFonts w:ascii="Calibri" w:hAnsi="Calibri" w:cs="Arial"/>
                <w:sz w:val="22"/>
                <w:szCs w:val="22"/>
              </w:rPr>
              <w:t xml:space="preserve"> VAT rate/reverse charge VAT?</w:t>
            </w:r>
          </w:p>
          <w:p w14:paraId="2F42FDDD" w14:textId="77777777" w:rsidR="00D46331" w:rsidRPr="000C3C46" w:rsidRDefault="00B43C86" w:rsidP="00B43C8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43C86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: If a new requirement, check with the respective Management Accountant. </w:t>
            </w:r>
            <w:r w:rsidR="0067213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14:paraId="3811DEBA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209A5E70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46331" w:rsidRPr="000C3C46" w14:paraId="45F0A74F" w14:textId="77777777" w:rsidTr="00126BD4">
        <w:tc>
          <w:tcPr>
            <w:tcW w:w="562" w:type="dxa"/>
            <w:shd w:val="clear" w:color="auto" w:fill="auto"/>
          </w:tcPr>
          <w:p w14:paraId="0A3D9ABD" w14:textId="77777777" w:rsidR="00D46331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78660E03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Saving</w:t>
            </w:r>
            <w:r w:rsidR="006E21CC">
              <w:rPr>
                <w:rFonts w:ascii="Calibri" w:hAnsi="Calibri" w:cs="Arial"/>
                <w:b/>
                <w:sz w:val="22"/>
                <w:szCs w:val="22"/>
              </w:rPr>
              <w:t>/efficiency/added value</w:t>
            </w:r>
            <w:r w:rsidRPr="00737B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37B2C" w:rsidRPr="00737B2C">
              <w:rPr>
                <w:rFonts w:ascii="Calibri" w:hAnsi="Calibri" w:cs="Arial"/>
                <w:sz w:val="22"/>
                <w:szCs w:val="22"/>
              </w:rPr>
              <w:t>(incl. sponsorship)</w:t>
            </w:r>
            <w:r w:rsidR="00737B2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0C3C46">
              <w:rPr>
                <w:rFonts w:ascii="Calibri" w:hAnsi="Calibri" w:cs="Arial"/>
                <w:sz w:val="22"/>
                <w:szCs w:val="22"/>
              </w:rPr>
              <w:t>opportunity?</w:t>
            </w:r>
          </w:p>
        </w:tc>
        <w:tc>
          <w:tcPr>
            <w:tcW w:w="539" w:type="dxa"/>
            <w:shd w:val="clear" w:color="auto" w:fill="auto"/>
          </w:tcPr>
          <w:p w14:paraId="7E34829F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F83FF94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46B6" w:rsidRPr="000C3C46" w14:paraId="393A3A9E" w14:textId="77777777" w:rsidTr="00126BD4">
        <w:tc>
          <w:tcPr>
            <w:tcW w:w="562" w:type="dxa"/>
            <w:shd w:val="clear" w:color="auto" w:fill="auto"/>
          </w:tcPr>
          <w:p w14:paraId="3C4F53AC" w14:textId="77777777" w:rsidR="002746B6" w:rsidRPr="000C3C46" w:rsidRDefault="00EB31C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A49BC62" w14:textId="77777777" w:rsidR="002746B6" w:rsidRPr="000C3C46" w:rsidRDefault="00D747CA" w:rsidP="00252DE9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C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 xml:space="preserve">lear </w:t>
            </w:r>
            <w:r w:rsidR="002746B6" w:rsidRPr="000C3C46">
              <w:rPr>
                <w:rFonts w:ascii="Calibri" w:hAnsi="Calibri" w:cs="Arial"/>
                <w:b/>
                <w:sz w:val="22"/>
                <w:szCs w:val="22"/>
              </w:rPr>
              <w:t>what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 xml:space="preserve"> is being procured</w:t>
            </w:r>
            <w:r w:rsidR="007B08CD" w:rsidRPr="000C3C46">
              <w:rPr>
                <w:rFonts w:ascii="Calibri" w:hAnsi="Calibri" w:cs="Arial"/>
                <w:sz w:val="22"/>
                <w:szCs w:val="22"/>
              </w:rPr>
              <w:t>;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08CD" w:rsidRPr="000C3C46">
              <w:rPr>
                <w:rFonts w:ascii="Calibri" w:hAnsi="Calibri" w:cs="Arial"/>
                <w:sz w:val="22"/>
                <w:szCs w:val="22"/>
              </w:rPr>
              <w:t>g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>oods</w:t>
            </w:r>
            <w:r w:rsidR="007B08CD" w:rsidRPr="000C3C46">
              <w:rPr>
                <w:rFonts w:ascii="Calibri" w:hAnsi="Calibri" w:cs="Arial"/>
                <w:sz w:val="22"/>
                <w:szCs w:val="22"/>
              </w:rPr>
              <w:t>, services, works</w:t>
            </w:r>
            <w:r w:rsidR="00AF342B" w:rsidRPr="000C3C46">
              <w:rPr>
                <w:rFonts w:ascii="Calibri" w:hAnsi="Calibri" w:cs="Arial"/>
                <w:sz w:val="22"/>
                <w:szCs w:val="22"/>
              </w:rPr>
              <w:t>, combination</w:t>
            </w:r>
            <w:r w:rsidR="002746B6" w:rsidRPr="000C3C46">
              <w:rPr>
                <w:rFonts w:ascii="Calibri" w:hAnsi="Calibri" w:cs="Arial"/>
                <w:sz w:val="22"/>
                <w:szCs w:val="22"/>
              </w:rPr>
              <w:t>?</w:t>
            </w:r>
            <w:r w:rsidR="00252DE9">
              <w:rPr>
                <w:rFonts w:ascii="Calibri" w:hAnsi="Calibri" w:cs="Arial"/>
                <w:sz w:val="22"/>
                <w:szCs w:val="22"/>
              </w:rPr>
              <w:t xml:space="preserve"> Support and training?</w:t>
            </w:r>
          </w:p>
        </w:tc>
        <w:tc>
          <w:tcPr>
            <w:tcW w:w="539" w:type="dxa"/>
            <w:shd w:val="clear" w:color="auto" w:fill="auto"/>
          </w:tcPr>
          <w:p w14:paraId="09CCDFB6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3AEF002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46331" w:rsidRPr="000C3C46" w14:paraId="5A7F1924" w14:textId="77777777" w:rsidTr="00126BD4">
        <w:tc>
          <w:tcPr>
            <w:tcW w:w="562" w:type="dxa"/>
            <w:shd w:val="clear" w:color="auto" w:fill="auto"/>
          </w:tcPr>
          <w:p w14:paraId="09E79A97" w14:textId="77777777" w:rsidR="00D46331" w:rsidRPr="000C3C46" w:rsidRDefault="00EB31C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5224882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Full understanding of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volume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requirements, including maverick spend</w:t>
            </w:r>
            <w:r w:rsidR="0057561F">
              <w:rPr>
                <w:rFonts w:ascii="Calibri" w:hAnsi="Calibri" w:cs="Arial"/>
                <w:sz w:val="22"/>
                <w:szCs w:val="22"/>
              </w:rPr>
              <w:t>, scalability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5F4458CC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5C0F8571" w14:textId="77777777" w:rsidR="00D46331" w:rsidRPr="000C3C46" w:rsidRDefault="00D46331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A4EFF" w:rsidRPr="000C3C46" w14:paraId="06BDE7E2" w14:textId="77777777" w:rsidTr="00126BD4">
        <w:tc>
          <w:tcPr>
            <w:tcW w:w="562" w:type="dxa"/>
            <w:shd w:val="clear" w:color="auto" w:fill="auto"/>
          </w:tcPr>
          <w:p w14:paraId="58F452CB" w14:textId="77777777" w:rsidR="00DA4EFF" w:rsidRPr="000C3C46" w:rsidRDefault="00EB31C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01911FC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All relevant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stakeholders</w:t>
            </w:r>
            <w:r w:rsidR="002D2E00" w:rsidRPr="000C3C46">
              <w:rPr>
                <w:rFonts w:ascii="Calibri" w:hAnsi="Calibri" w:cs="Arial"/>
                <w:sz w:val="22"/>
                <w:szCs w:val="22"/>
              </w:rPr>
              <w:t xml:space="preserve"> spoken to, including:</w:t>
            </w:r>
          </w:p>
          <w:p w14:paraId="4CD3BB06" w14:textId="77777777" w:rsidR="002A5565" w:rsidRPr="000C3C46" w:rsidRDefault="002A5565" w:rsidP="000C3C46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Internal customers / end users</w:t>
            </w:r>
            <w:r w:rsidR="00C35EE3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71BAC425" w14:textId="77777777" w:rsidR="002D2E00" w:rsidRPr="000C3C46" w:rsidRDefault="002A5565" w:rsidP="000C3C46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Potential collaborative partners</w:t>
            </w:r>
            <w:r w:rsidR="00C35EE3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2503C005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BEA4DF8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46B6" w:rsidRPr="000C3C46" w14:paraId="423131B5" w14:textId="77777777" w:rsidTr="00126BD4">
        <w:tc>
          <w:tcPr>
            <w:tcW w:w="562" w:type="dxa"/>
            <w:shd w:val="clear" w:color="auto" w:fill="auto"/>
          </w:tcPr>
          <w:p w14:paraId="3E7572D6" w14:textId="77777777" w:rsidR="002746B6" w:rsidRPr="000C3C46" w:rsidRDefault="00EB31C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AC35C40" w14:textId="77777777" w:rsidR="002746B6" w:rsidRPr="000C3C46" w:rsidRDefault="00D747CA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U</w:t>
            </w:r>
            <w:r w:rsidR="00523AC4" w:rsidRPr="000C3C46">
              <w:rPr>
                <w:rFonts w:ascii="Calibri" w:hAnsi="Calibri" w:cs="Arial"/>
                <w:sz w:val="22"/>
                <w:szCs w:val="22"/>
              </w:rPr>
              <w:t xml:space="preserve">nderstanding of the </w:t>
            </w:r>
            <w:r w:rsidR="00523AC4" w:rsidRPr="000C3C46">
              <w:rPr>
                <w:rFonts w:ascii="Calibri" w:hAnsi="Calibri" w:cs="Arial"/>
                <w:b/>
                <w:sz w:val="22"/>
                <w:szCs w:val="22"/>
              </w:rPr>
              <w:t>supply market</w:t>
            </w:r>
            <w:r w:rsidR="00523AC4" w:rsidRPr="000C3C46">
              <w:rPr>
                <w:rFonts w:ascii="Calibri" w:hAnsi="Calibri" w:cs="Arial"/>
                <w:sz w:val="22"/>
                <w:szCs w:val="22"/>
              </w:rPr>
              <w:t xml:space="preserve"> and its likely response to the contract opportunity?</w:t>
            </w:r>
          </w:p>
        </w:tc>
        <w:tc>
          <w:tcPr>
            <w:tcW w:w="539" w:type="dxa"/>
            <w:shd w:val="clear" w:color="auto" w:fill="auto"/>
          </w:tcPr>
          <w:p w14:paraId="73B6DB4A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9079022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46B6" w:rsidRPr="000C3C46" w14:paraId="55567D41" w14:textId="77777777" w:rsidTr="00126BD4">
        <w:tc>
          <w:tcPr>
            <w:tcW w:w="562" w:type="dxa"/>
            <w:shd w:val="clear" w:color="auto" w:fill="auto"/>
          </w:tcPr>
          <w:p w14:paraId="744CBFEC" w14:textId="77777777" w:rsidR="002746B6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F6BB267" w14:textId="77777777" w:rsidR="002746B6" w:rsidRDefault="00F649D1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Procurement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routes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options appraisal undertaken</w:t>
            </w:r>
            <w:r w:rsidR="00B564F9" w:rsidRPr="000C3C46">
              <w:rPr>
                <w:rFonts w:ascii="Calibri" w:hAnsi="Calibri" w:cs="Arial"/>
                <w:sz w:val="22"/>
                <w:szCs w:val="22"/>
              </w:rPr>
              <w:t xml:space="preserve"> (including any framework options and lotting strategies)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? </w:t>
            </w:r>
          </w:p>
          <w:p w14:paraId="21A7E207" w14:textId="77777777" w:rsidR="00C004F7" w:rsidRPr="00C004F7" w:rsidRDefault="00C004F7" w:rsidP="00401623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C004F7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C004F7">
              <w:rPr>
                <w:rFonts w:ascii="Calibri" w:hAnsi="Calibri" w:cs="Arial"/>
                <w:i/>
                <w:sz w:val="22"/>
                <w:szCs w:val="22"/>
              </w:rPr>
              <w:t xml:space="preserve">: Where a contract is not to be divided into separate lots, the reason for this decision must be stated here. </w:t>
            </w:r>
            <w:r w:rsidR="00401623" w:rsidRPr="00401623">
              <w:rPr>
                <w:rFonts w:ascii="Calibri" w:hAnsi="Calibri" w:cs="Arial"/>
                <w:i/>
                <w:sz w:val="22"/>
                <w:szCs w:val="22"/>
              </w:rPr>
              <w:t xml:space="preserve">Where the contract is to be divided into lots, </w:t>
            </w:r>
            <w:proofErr w:type="gramStart"/>
            <w:r w:rsidR="00401623" w:rsidRPr="00401623"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C004F7">
              <w:rPr>
                <w:rFonts w:ascii="Calibri" w:hAnsi="Calibri" w:cs="Arial"/>
                <w:i/>
                <w:sz w:val="22"/>
                <w:szCs w:val="22"/>
              </w:rPr>
              <w:t xml:space="preserve"> number</w:t>
            </w:r>
            <w:proofErr w:type="gramEnd"/>
            <w:r w:rsidRPr="00C004F7">
              <w:rPr>
                <w:rFonts w:ascii="Calibri" w:hAnsi="Calibri" w:cs="Arial"/>
                <w:i/>
                <w:sz w:val="22"/>
                <w:szCs w:val="22"/>
              </w:rPr>
              <w:t xml:space="preserve"> of lots for which tenderers may bid, and the number of lots which may be awarded to any one tenderer, including the criteria for making such a decision, should also be noted</w:t>
            </w:r>
          </w:p>
        </w:tc>
        <w:tc>
          <w:tcPr>
            <w:tcW w:w="539" w:type="dxa"/>
            <w:shd w:val="clear" w:color="auto" w:fill="auto"/>
          </w:tcPr>
          <w:p w14:paraId="4096DA65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64522D7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90FEA" w:rsidRPr="000C3C46" w14:paraId="64347DF3" w14:textId="77777777" w:rsidTr="00126BD4">
        <w:tc>
          <w:tcPr>
            <w:tcW w:w="562" w:type="dxa"/>
            <w:shd w:val="clear" w:color="auto" w:fill="auto"/>
          </w:tcPr>
          <w:p w14:paraId="720FF6DC" w14:textId="77777777" w:rsidR="00F90FEA" w:rsidRDefault="00F90FEA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5211EAD1" w14:textId="77777777" w:rsidR="00F90FEA" w:rsidRDefault="00F90FEA" w:rsidP="009F717D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Is it intended to </w:t>
            </w:r>
            <w:r w:rsidRPr="003F3CCE">
              <w:rPr>
                <w:rFonts w:ascii="Calibri" w:hAnsi="Calibri" w:cs="Arial"/>
                <w:b/>
                <w:sz w:val="22"/>
                <w:szCs w:val="22"/>
              </w:rPr>
              <w:t xml:space="preserve">buy, </w:t>
            </w:r>
            <w:proofErr w:type="gramStart"/>
            <w:r w:rsidRPr="003F3CCE">
              <w:rPr>
                <w:rFonts w:ascii="Calibri" w:hAnsi="Calibri" w:cs="Arial"/>
                <w:b/>
                <w:sz w:val="22"/>
                <w:szCs w:val="22"/>
              </w:rPr>
              <w:t>hire</w:t>
            </w:r>
            <w:proofErr w:type="gramEnd"/>
            <w:r w:rsidRPr="003F3CCE">
              <w:rPr>
                <w:rFonts w:ascii="Calibri" w:hAnsi="Calibri" w:cs="Arial"/>
                <w:b/>
                <w:sz w:val="22"/>
                <w:szCs w:val="22"/>
              </w:rPr>
              <w:t xml:space="preserve"> or lease</w:t>
            </w:r>
            <w:r>
              <w:rPr>
                <w:rFonts w:ascii="Calibri" w:hAnsi="Calibri" w:cs="Arial"/>
                <w:sz w:val="22"/>
                <w:szCs w:val="22"/>
              </w:rPr>
              <w:t>? (If leasing, will the lease be with a third party?)</w:t>
            </w:r>
          </w:p>
          <w:p w14:paraId="697E445D" w14:textId="477D2E68" w:rsidR="00A04B00" w:rsidRPr="00A04B00" w:rsidRDefault="00A04B00" w:rsidP="009F717D">
            <w:pPr>
              <w:spacing w:before="60" w:after="60" w:line="276" w:lineRule="auto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A04B00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Note</w:t>
            </w:r>
            <w:r w:rsidRPr="00A04B00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The Head of Financial Control must be sent any lease documents once signed</w:t>
            </w:r>
          </w:p>
        </w:tc>
        <w:tc>
          <w:tcPr>
            <w:tcW w:w="539" w:type="dxa"/>
            <w:shd w:val="clear" w:color="auto" w:fill="auto"/>
          </w:tcPr>
          <w:p w14:paraId="2C119A19" w14:textId="77777777" w:rsidR="00F90FEA" w:rsidRPr="000C3C46" w:rsidRDefault="00F90FEA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A5183A7" w14:textId="77777777" w:rsidR="00F90FEA" w:rsidRPr="000C3C46" w:rsidRDefault="00F90FEA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F717D" w:rsidRPr="000C3C46" w14:paraId="7A1E94DF" w14:textId="77777777" w:rsidTr="00126BD4">
        <w:tc>
          <w:tcPr>
            <w:tcW w:w="562" w:type="dxa"/>
            <w:shd w:val="clear" w:color="auto" w:fill="auto"/>
          </w:tcPr>
          <w:p w14:paraId="4CD0BCC7" w14:textId="77777777" w:rsidR="009F717D" w:rsidRPr="000C3C46" w:rsidRDefault="009F717D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7EE6EE8A" w14:textId="7AED77CB" w:rsidR="009F717D" w:rsidRDefault="009F717D" w:rsidP="009F717D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Who is to be on the </w:t>
            </w:r>
            <w:r w:rsidRPr="009F717D">
              <w:rPr>
                <w:rFonts w:ascii="Calibri" w:hAnsi="Calibri" w:cs="Arial"/>
                <w:b/>
                <w:sz w:val="22"/>
                <w:szCs w:val="22"/>
              </w:rPr>
              <w:t>tender evaluation panel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C20EE9">
              <w:rPr>
                <w:rFonts w:ascii="Calibri" w:hAnsi="Calibri" w:cs="Arial"/>
                <w:sz w:val="22"/>
                <w:szCs w:val="22"/>
              </w:rPr>
              <w:t>Sense in involving a student representative(s)?</w:t>
            </w:r>
          </w:p>
          <w:p w14:paraId="7C5A1293" w14:textId="77777777" w:rsidR="009F717D" w:rsidRPr="009F717D" w:rsidRDefault="009F717D" w:rsidP="00C861B5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9F717D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9F717D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For £50k+ contracts, panellist must complete the </w:t>
            </w: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Conflict of Interest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Declaration Form </w:t>
            </w:r>
            <w:r w:rsidR="00C861B5">
              <w:rPr>
                <w:rFonts w:ascii="Calibri" w:hAnsi="Calibri" w:cs="Arial"/>
                <w:i/>
                <w:sz w:val="22"/>
                <w:szCs w:val="22"/>
              </w:rPr>
              <w:t>at the outset</w:t>
            </w:r>
          </w:p>
        </w:tc>
        <w:tc>
          <w:tcPr>
            <w:tcW w:w="539" w:type="dxa"/>
            <w:shd w:val="clear" w:color="auto" w:fill="auto"/>
          </w:tcPr>
          <w:p w14:paraId="268787B7" w14:textId="77777777" w:rsidR="009F717D" w:rsidRPr="000C3C46" w:rsidRDefault="009F717D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86E4A21" w14:textId="77777777" w:rsidR="009F717D" w:rsidRPr="000C3C46" w:rsidRDefault="009F717D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46B6" w:rsidRPr="000C3C46" w14:paraId="473C52ED" w14:textId="77777777" w:rsidTr="00126BD4">
        <w:tc>
          <w:tcPr>
            <w:tcW w:w="562" w:type="dxa"/>
            <w:shd w:val="clear" w:color="auto" w:fill="auto"/>
          </w:tcPr>
          <w:p w14:paraId="02423AC2" w14:textId="77777777" w:rsidR="002746B6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1D4CED0" w14:textId="77777777" w:rsidR="002746B6" w:rsidRPr="000C3C46" w:rsidRDefault="004D231F" w:rsidP="00F868CE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Clear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 xml:space="preserve">exit strategy </w:t>
            </w:r>
            <w:r w:rsidRPr="000C3C46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Pr="000C3C46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0C3C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45FB">
              <w:rPr>
                <w:rFonts w:ascii="Calibri" w:hAnsi="Calibri" w:cs="Arial"/>
                <w:sz w:val="22"/>
                <w:szCs w:val="22"/>
              </w:rPr>
              <w:t>mitigation</w:t>
            </w:r>
            <w:r w:rsidR="00666F69">
              <w:rPr>
                <w:rFonts w:ascii="Calibri" w:hAnsi="Calibri" w:cs="Arial"/>
                <w:sz w:val="22"/>
                <w:szCs w:val="22"/>
              </w:rPr>
              <w:t xml:space="preserve"> of risks listed at 1</w:t>
            </w:r>
            <w:r w:rsidR="00420213">
              <w:rPr>
                <w:rFonts w:ascii="Calibri" w:hAnsi="Calibri" w:cs="Arial"/>
                <w:sz w:val="22"/>
                <w:szCs w:val="22"/>
              </w:rPr>
              <w:t>5</w:t>
            </w:r>
            <w:r w:rsidR="00666F69">
              <w:rPr>
                <w:rFonts w:ascii="Calibri" w:hAnsi="Calibri" w:cs="Arial"/>
                <w:sz w:val="22"/>
                <w:szCs w:val="22"/>
              </w:rPr>
              <w:t>-2</w:t>
            </w:r>
            <w:r w:rsidR="00F868CE">
              <w:rPr>
                <w:rFonts w:ascii="Calibri" w:hAnsi="Calibri" w:cs="Arial"/>
                <w:sz w:val="22"/>
                <w:szCs w:val="22"/>
              </w:rPr>
              <w:t>7</w:t>
            </w:r>
            <w:r w:rsidR="00666F69">
              <w:rPr>
                <w:rFonts w:ascii="Calibri" w:hAnsi="Calibri" w:cs="Arial"/>
                <w:sz w:val="22"/>
                <w:szCs w:val="22"/>
              </w:rPr>
              <w:t xml:space="preserve"> below</w:t>
            </w:r>
            <w:r w:rsidR="00A845F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0C3C46">
              <w:rPr>
                <w:rFonts w:ascii="Calibri" w:hAnsi="Calibri" w:cs="Arial"/>
                <w:sz w:val="22"/>
                <w:szCs w:val="22"/>
              </w:rPr>
              <w:t>clause allowing for termination for convenience</w:t>
            </w:r>
            <w:r w:rsidR="00D8345C" w:rsidRPr="000C3C46">
              <w:rPr>
                <w:rFonts w:ascii="Calibri" w:hAnsi="Calibri" w:cs="Arial"/>
                <w:sz w:val="22"/>
                <w:szCs w:val="22"/>
              </w:rPr>
              <w:t>, alignment with other potential collaborative partners</w:t>
            </w:r>
            <w:r w:rsidR="00877E3A" w:rsidRPr="000C3C46">
              <w:rPr>
                <w:rFonts w:ascii="Calibri" w:hAnsi="Calibri" w:cs="Arial"/>
                <w:sz w:val="22"/>
                <w:szCs w:val="22"/>
              </w:rPr>
              <w:t>’ contracts</w:t>
            </w:r>
            <w:r w:rsidRPr="000C3C46">
              <w:rPr>
                <w:rFonts w:ascii="Calibri" w:hAnsi="Calibri" w:cs="Arial"/>
                <w:sz w:val="22"/>
                <w:szCs w:val="22"/>
              </w:rPr>
              <w:t>)?</w:t>
            </w:r>
          </w:p>
        </w:tc>
        <w:tc>
          <w:tcPr>
            <w:tcW w:w="539" w:type="dxa"/>
            <w:shd w:val="clear" w:color="auto" w:fill="auto"/>
          </w:tcPr>
          <w:p w14:paraId="1C0ECD18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EDEDFCA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46B6" w:rsidRPr="000C3C46" w14:paraId="7B33D71D" w14:textId="77777777" w:rsidTr="00126BD4">
        <w:tc>
          <w:tcPr>
            <w:tcW w:w="562" w:type="dxa"/>
            <w:shd w:val="clear" w:color="auto" w:fill="auto"/>
          </w:tcPr>
          <w:p w14:paraId="70462264" w14:textId="77777777" w:rsidR="002746B6" w:rsidRPr="00C004F7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004F7"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DA23D6E" w14:textId="77777777" w:rsidR="00C004F7" w:rsidRPr="00C004F7" w:rsidRDefault="00D46331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004F7">
              <w:rPr>
                <w:rFonts w:ascii="Calibri" w:hAnsi="Calibri" w:cs="Arial"/>
                <w:sz w:val="22"/>
                <w:szCs w:val="22"/>
              </w:rPr>
              <w:t xml:space="preserve">Established contract </w:t>
            </w:r>
            <w:r w:rsidRPr="00C004F7">
              <w:rPr>
                <w:rFonts w:ascii="Calibri" w:hAnsi="Calibri" w:cs="Arial"/>
                <w:b/>
                <w:sz w:val="22"/>
                <w:szCs w:val="22"/>
              </w:rPr>
              <w:t xml:space="preserve">advertising </w:t>
            </w:r>
            <w:r w:rsidRPr="00C004F7">
              <w:rPr>
                <w:rFonts w:ascii="Calibri" w:hAnsi="Calibri" w:cs="Arial"/>
                <w:sz w:val="22"/>
                <w:szCs w:val="22"/>
              </w:rPr>
              <w:t>strategy?</w:t>
            </w:r>
          </w:p>
          <w:p w14:paraId="641B7C66" w14:textId="3001858A" w:rsidR="002746B6" w:rsidRPr="00C004F7" w:rsidRDefault="00C004F7" w:rsidP="00A6530E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C004F7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C004F7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£</w:t>
            </w:r>
            <w:r w:rsidR="00774BDB">
              <w:rPr>
                <w:rFonts w:ascii="Calibri" w:hAnsi="Calibri" w:cs="Arial"/>
                <w:i/>
                <w:sz w:val="22"/>
                <w:szCs w:val="22"/>
              </w:rPr>
              <w:t>30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k+ contracts must be advertised on </w:t>
            </w:r>
            <w:r w:rsidRPr="00C004F7">
              <w:rPr>
                <w:rFonts w:ascii="Calibri" w:hAnsi="Calibri" w:cs="Arial"/>
                <w:i/>
                <w:sz w:val="22"/>
                <w:szCs w:val="22"/>
              </w:rPr>
              <w:t>Contracts Finder where the contract opportunity is openly advertised</w:t>
            </w:r>
            <w:r w:rsidR="00A027B7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r w:rsidR="00A6530E">
              <w:rPr>
                <w:rFonts w:ascii="Calibri" w:hAnsi="Calibri" w:cs="Arial"/>
                <w:i/>
                <w:sz w:val="22"/>
                <w:szCs w:val="22"/>
              </w:rPr>
              <w:t>If the market is small/niche (above), consider openly advertising</w:t>
            </w:r>
          </w:p>
        </w:tc>
        <w:tc>
          <w:tcPr>
            <w:tcW w:w="539" w:type="dxa"/>
            <w:shd w:val="clear" w:color="auto" w:fill="auto"/>
          </w:tcPr>
          <w:p w14:paraId="0D805449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0F2E3855" w14:textId="77777777" w:rsidR="002746B6" w:rsidRPr="000C3C46" w:rsidRDefault="002746B6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1A07" w:rsidRPr="000C3C46" w14:paraId="764CD1C3" w14:textId="77777777" w:rsidTr="00126BD4">
        <w:tc>
          <w:tcPr>
            <w:tcW w:w="562" w:type="dxa"/>
            <w:shd w:val="clear" w:color="auto" w:fill="auto"/>
          </w:tcPr>
          <w:p w14:paraId="0ED06342" w14:textId="77777777" w:rsidR="003C1A07" w:rsidRPr="000C3C46" w:rsidRDefault="003C1A07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6B7C87DB" w14:textId="77777777" w:rsidR="003C1A07" w:rsidRPr="000C3C46" w:rsidRDefault="00964C3C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Prop</w:t>
            </w:r>
            <w:r w:rsidR="001A19D0" w:rsidRPr="000C3C46">
              <w:rPr>
                <w:rFonts w:ascii="Calibri" w:hAnsi="Calibri" w:cs="Arial"/>
                <w:sz w:val="22"/>
                <w:szCs w:val="22"/>
              </w:rPr>
              <w:t>ortionate account taken of risks/impacts</w:t>
            </w:r>
            <w:r w:rsidRPr="000C3C4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39" w:type="dxa"/>
            <w:shd w:val="clear" w:color="auto" w:fill="auto"/>
          </w:tcPr>
          <w:p w14:paraId="2374D532" w14:textId="77777777" w:rsidR="003C1A07" w:rsidRPr="000C3C46" w:rsidRDefault="003C1A07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5423A3B9" w14:textId="77777777" w:rsidR="003C1A07" w:rsidRPr="000C3C46" w:rsidRDefault="003C1A07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A4EFF" w:rsidRPr="000C3C46" w14:paraId="39B37792" w14:textId="77777777" w:rsidTr="00126BD4">
        <w:tc>
          <w:tcPr>
            <w:tcW w:w="562" w:type="dxa"/>
            <w:shd w:val="clear" w:color="auto" w:fill="auto"/>
          </w:tcPr>
          <w:p w14:paraId="7C1812B5" w14:textId="77777777" w:rsidR="00DA4EFF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292A71C" w14:textId="77777777" w:rsidR="00DA4EFF" w:rsidRPr="000C3C46" w:rsidRDefault="00DA4EFF" w:rsidP="00A6530E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Financial stability</w:t>
            </w:r>
            <w:r w:rsidR="001A19D0" w:rsidRPr="000C3C46">
              <w:rPr>
                <w:rFonts w:ascii="Calibri" w:hAnsi="Calibri" w:cs="Arial"/>
                <w:sz w:val="22"/>
                <w:szCs w:val="22"/>
              </w:rPr>
              <w:t>?</w:t>
            </w:r>
            <w:r w:rsidR="00A6530E">
              <w:rPr>
                <w:rFonts w:ascii="Calibri" w:hAnsi="Calibri" w:cs="Arial"/>
                <w:sz w:val="22"/>
                <w:szCs w:val="22"/>
              </w:rPr>
              <w:t xml:space="preserve"> Guidance, incl. risk assessment, </w:t>
            </w:r>
            <w:hyperlink r:id="rId9" w:history="1">
              <w:r w:rsidR="00A6530E" w:rsidRPr="00A6530E">
                <w:rPr>
                  <w:rStyle w:val="Hyperlink"/>
                  <w:rFonts w:ascii="Calibri" w:hAnsi="Calibri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539" w:type="dxa"/>
            <w:shd w:val="clear" w:color="auto" w:fill="auto"/>
          </w:tcPr>
          <w:p w14:paraId="0F21B2AB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AD00744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2329" w:rsidRPr="000C3C46" w14:paraId="7A20F01C" w14:textId="77777777" w:rsidTr="00126BD4">
        <w:tc>
          <w:tcPr>
            <w:tcW w:w="562" w:type="dxa"/>
            <w:shd w:val="clear" w:color="auto" w:fill="auto"/>
          </w:tcPr>
          <w:p w14:paraId="34FEFAE6" w14:textId="77777777" w:rsidR="00642329" w:rsidRPr="000C3C46" w:rsidRDefault="00642329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4EC21BF" w14:textId="77777777" w:rsidR="00642329" w:rsidRPr="000C3C46" w:rsidRDefault="00642329" w:rsidP="000C3C46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Insurance levels</w:t>
            </w:r>
            <w:r w:rsidR="001367D5">
              <w:rPr>
                <w:rFonts w:ascii="Calibri" w:hAnsi="Calibri" w:cs="Arial"/>
                <w:b/>
                <w:sz w:val="22"/>
                <w:szCs w:val="22"/>
              </w:rPr>
              <w:t>/Indemnity limits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  <w:r w:rsidR="00A6530E">
              <w:rPr>
                <w:rFonts w:ascii="Calibri" w:hAnsi="Calibri" w:cs="Arial"/>
                <w:sz w:val="22"/>
                <w:szCs w:val="22"/>
              </w:rPr>
              <w:t xml:space="preserve"> Guidance, incl. risk assessment, </w:t>
            </w:r>
            <w:hyperlink r:id="rId10" w:history="1">
              <w:r w:rsidR="00A6530E" w:rsidRPr="00A6530E">
                <w:rPr>
                  <w:rStyle w:val="Hyperlink"/>
                  <w:rFonts w:ascii="Calibri" w:hAnsi="Calibri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539" w:type="dxa"/>
            <w:shd w:val="clear" w:color="auto" w:fill="auto"/>
          </w:tcPr>
          <w:p w14:paraId="61D76E35" w14:textId="77777777" w:rsidR="00642329" w:rsidRPr="000C3C46" w:rsidRDefault="00642329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20ABCE95" w14:textId="77777777" w:rsidR="00642329" w:rsidRPr="000C3C46" w:rsidRDefault="00642329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06854" w:rsidRPr="000C3C46" w14:paraId="68D7CFAB" w14:textId="77777777" w:rsidTr="00126BD4">
        <w:tc>
          <w:tcPr>
            <w:tcW w:w="562" w:type="dxa"/>
            <w:shd w:val="clear" w:color="auto" w:fill="auto"/>
          </w:tcPr>
          <w:p w14:paraId="5CA85509" w14:textId="77777777" w:rsidR="00206854" w:rsidRPr="000C3C46" w:rsidRDefault="0020685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0D325A4" w14:textId="77777777" w:rsidR="00206854" w:rsidRPr="000C3C46" w:rsidRDefault="00206854" w:rsidP="007C6DCB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IT element/interfaces</w:t>
            </w:r>
            <w:r w:rsidR="00666F69">
              <w:rPr>
                <w:rFonts w:ascii="Calibri" w:hAnsi="Calibri" w:cs="Arial"/>
                <w:sz w:val="22"/>
                <w:szCs w:val="22"/>
              </w:rPr>
              <w:t>, including Cloud-based products</w:t>
            </w:r>
            <w:r w:rsidR="00685985">
              <w:rPr>
                <w:rFonts w:ascii="Calibri" w:hAnsi="Calibri" w:cs="Arial"/>
                <w:sz w:val="22"/>
                <w:szCs w:val="22"/>
              </w:rPr>
              <w:t>?</w:t>
            </w:r>
            <w:r w:rsidR="00666F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C6DCB" w:rsidRPr="007C6DCB">
              <w:rPr>
                <w:rFonts w:ascii="Calibri" w:hAnsi="Calibri" w:cs="Arial"/>
                <w:sz w:val="22"/>
                <w:szCs w:val="22"/>
              </w:rPr>
              <w:t>(incl</w:t>
            </w:r>
            <w:r w:rsidR="007C6DCB">
              <w:rPr>
                <w:rFonts w:ascii="Calibri" w:hAnsi="Calibri" w:cs="Arial"/>
                <w:sz w:val="22"/>
                <w:szCs w:val="22"/>
              </w:rPr>
              <w:t>. compatibility with IT stack)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85985">
              <w:rPr>
                <w:rFonts w:ascii="Calibri" w:hAnsi="Calibri" w:cs="Arial"/>
                <w:sz w:val="22"/>
                <w:szCs w:val="22"/>
              </w:rPr>
              <w:t>(C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ontact IT </w:t>
            </w:r>
            <w:r w:rsidR="007C6DCB">
              <w:rPr>
                <w:rFonts w:ascii="Calibri" w:hAnsi="Calibri" w:cs="Arial"/>
                <w:sz w:val="22"/>
                <w:szCs w:val="22"/>
              </w:rPr>
              <w:t>Business Partner</w:t>
            </w:r>
            <w:r w:rsidRPr="000C3C4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14:paraId="7F57E994" w14:textId="77777777" w:rsidR="00206854" w:rsidRPr="000C3C46" w:rsidRDefault="00206854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6AA8CD45" w14:textId="77777777" w:rsidR="00206854" w:rsidRPr="000C3C46" w:rsidRDefault="00206854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A4EFF" w:rsidRPr="000C3C46" w14:paraId="19516DE7" w14:textId="77777777" w:rsidTr="00126BD4">
        <w:tc>
          <w:tcPr>
            <w:tcW w:w="562" w:type="dxa"/>
            <w:shd w:val="clear" w:color="auto" w:fill="auto"/>
          </w:tcPr>
          <w:p w14:paraId="3A46B9C6" w14:textId="77777777" w:rsidR="00DA4EFF" w:rsidRPr="000C3C46" w:rsidRDefault="004D231F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651B4ED" w14:textId="77777777" w:rsidR="007C6DCB" w:rsidRDefault="001C4662" w:rsidP="00A97705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C4662">
              <w:rPr>
                <w:rFonts w:ascii="Calibri" w:hAnsi="Calibri" w:cs="Arial"/>
                <w:b/>
                <w:sz w:val="22"/>
                <w:szCs w:val="22"/>
              </w:rPr>
              <w:t>Data protection</w:t>
            </w:r>
            <w:r w:rsidRPr="001C4662">
              <w:rPr>
                <w:rFonts w:ascii="Calibri" w:hAnsi="Calibri" w:cs="Arial"/>
                <w:sz w:val="22"/>
                <w:szCs w:val="22"/>
              </w:rPr>
              <w:t xml:space="preserve">? Is Personal Data and/or </w:t>
            </w:r>
            <w:r w:rsidR="005A3D32">
              <w:rPr>
                <w:rFonts w:ascii="Calibri" w:hAnsi="Calibri" w:cs="Arial"/>
                <w:sz w:val="22"/>
                <w:szCs w:val="22"/>
              </w:rPr>
              <w:t>Special Category</w:t>
            </w:r>
            <w:r w:rsidRPr="001C4662">
              <w:rPr>
                <w:rFonts w:ascii="Calibri" w:hAnsi="Calibri" w:cs="Arial"/>
                <w:sz w:val="22"/>
                <w:szCs w:val="22"/>
              </w:rPr>
              <w:t xml:space="preserve"> Data to be processed?</w:t>
            </w:r>
            <w:r w:rsidR="00A97705">
              <w:rPr>
                <w:rFonts w:ascii="Calibri" w:hAnsi="Calibri" w:cs="Arial"/>
                <w:sz w:val="22"/>
                <w:szCs w:val="22"/>
              </w:rPr>
              <w:t xml:space="preserve"> If so, </w:t>
            </w:r>
            <w:r w:rsidR="00A97705">
              <w:rPr>
                <w:rFonts w:ascii="Calibri" w:hAnsi="Calibri" w:cs="Arial"/>
                <w:sz w:val="22"/>
                <w:szCs w:val="22"/>
              </w:rPr>
              <w:lastRenderedPageBreak/>
              <w:t xml:space="preserve">contact </w:t>
            </w:r>
            <w:hyperlink r:id="rId11" w:history="1">
              <w:r w:rsidR="00A97705" w:rsidRPr="00D67FD2">
                <w:rPr>
                  <w:rStyle w:val="Hyperlink"/>
                  <w:rFonts w:ascii="Calibri" w:hAnsi="Calibri" w:cs="Arial"/>
                  <w:sz w:val="22"/>
                  <w:szCs w:val="22"/>
                </w:rPr>
                <w:t>records.management@le.ac.uk</w:t>
              </w:r>
            </w:hyperlink>
            <w:r w:rsidR="00A97705">
              <w:rPr>
                <w:rFonts w:ascii="Calibri" w:hAnsi="Calibri" w:cs="Arial"/>
                <w:sz w:val="22"/>
                <w:szCs w:val="22"/>
              </w:rPr>
              <w:t xml:space="preserve"> to add</w:t>
            </w:r>
            <w:r w:rsidR="00A97705" w:rsidRPr="00A97705">
              <w:rPr>
                <w:rFonts w:ascii="Calibri" w:hAnsi="Calibri" w:cs="Arial"/>
                <w:sz w:val="22"/>
                <w:szCs w:val="22"/>
              </w:rPr>
              <w:t xml:space="preserve"> to the Records of Processing Activities (ROPA)</w:t>
            </w:r>
          </w:p>
          <w:p w14:paraId="4796B353" w14:textId="77777777" w:rsidR="00223952" w:rsidRPr="005A3D32" w:rsidRDefault="00223952" w:rsidP="00A97705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5A3D32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5A3D32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5A3D32" w:rsidRPr="005A3D32"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5A3D32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A97705">
              <w:rPr>
                <w:rFonts w:ascii="Calibri" w:hAnsi="Calibri" w:cs="Arial"/>
                <w:i/>
                <w:sz w:val="22"/>
                <w:szCs w:val="22"/>
              </w:rPr>
              <w:t>Data Protection Impact Assessment (</w:t>
            </w:r>
            <w:hyperlink r:id="rId12" w:history="1">
              <w:r w:rsidRPr="00A97705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DPIA</w:t>
              </w:r>
            </w:hyperlink>
            <w:r w:rsidR="00A97705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Pr="005A3D32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A97705">
              <w:rPr>
                <w:rFonts w:ascii="Calibri" w:hAnsi="Calibri" w:cs="Arial"/>
                <w:i/>
                <w:sz w:val="22"/>
                <w:szCs w:val="22"/>
              </w:rPr>
              <w:t>may be required once the ROPA has been assessed</w:t>
            </w:r>
          </w:p>
        </w:tc>
        <w:tc>
          <w:tcPr>
            <w:tcW w:w="539" w:type="dxa"/>
            <w:shd w:val="clear" w:color="auto" w:fill="auto"/>
          </w:tcPr>
          <w:p w14:paraId="7B6A5F13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ACE59A2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A4EFF" w:rsidRPr="000C3C46" w14:paraId="32589DD0" w14:textId="77777777" w:rsidTr="00126BD4">
        <w:tc>
          <w:tcPr>
            <w:tcW w:w="562" w:type="dxa"/>
            <w:shd w:val="clear" w:color="auto" w:fill="auto"/>
          </w:tcPr>
          <w:p w14:paraId="63F1E66C" w14:textId="77777777" w:rsidR="00DA4EFF" w:rsidRPr="000C3C46" w:rsidRDefault="00B045B6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EB31C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52219D37" w14:textId="77777777" w:rsidR="007C6DCB" w:rsidRDefault="00DA4EFF" w:rsidP="007C6DCB">
            <w:pPr>
              <w:numPr>
                <w:ilvl w:val="0"/>
                <w:numId w:val="4"/>
              </w:numPr>
              <w:spacing w:before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Business continuity</w:t>
            </w:r>
            <w:r w:rsidR="007C6DCB">
              <w:rPr>
                <w:rFonts w:ascii="Calibri" w:hAnsi="Calibri" w:cs="Arial"/>
                <w:b/>
                <w:sz w:val="22"/>
                <w:szCs w:val="22"/>
              </w:rPr>
              <w:t xml:space="preserve"> / Disaster Recovery </w:t>
            </w:r>
          </w:p>
          <w:p w14:paraId="6E993AF8" w14:textId="77777777" w:rsidR="00DA4EFF" w:rsidRDefault="001A19D0" w:rsidP="007C6DCB">
            <w:pPr>
              <w:spacing w:after="60"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Pr="000C3C46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0C3C46">
              <w:rPr>
                <w:rFonts w:ascii="Calibri" w:hAnsi="Calibri" w:cs="Arial"/>
                <w:sz w:val="22"/>
                <w:szCs w:val="22"/>
              </w:rPr>
              <w:t xml:space="preserve"> escrow)?</w:t>
            </w:r>
          </w:p>
          <w:p w14:paraId="07781CD4" w14:textId="77777777" w:rsidR="00737B2C" w:rsidRPr="00737B2C" w:rsidRDefault="00737B2C" w:rsidP="00FC6E81">
            <w:pPr>
              <w:spacing w:after="60" w:line="276" w:lineRule="auto"/>
              <w:ind w:left="36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37B2C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737B2C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Important that supplier has robust, tested plans, if </w:t>
            </w:r>
            <w:r w:rsidR="00DC59AC">
              <w:rPr>
                <w:rFonts w:ascii="Calibri" w:hAnsi="Calibri" w:cs="Arial"/>
                <w:i/>
                <w:sz w:val="22"/>
                <w:szCs w:val="22"/>
              </w:rPr>
              <w:t xml:space="preserve">the University is highly dependent on its </w:t>
            </w:r>
            <w:r w:rsidR="00FC6E81">
              <w:rPr>
                <w:rFonts w:ascii="Calibri" w:hAnsi="Calibri" w:cs="Arial"/>
                <w:i/>
                <w:sz w:val="22"/>
                <w:szCs w:val="22"/>
              </w:rPr>
              <w:t>delivery</w:t>
            </w:r>
            <w:r w:rsidR="00DC59AC">
              <w:rPr>
                <w:rFonts w:ascii="Calibri" w:hAnsi="Calibri" w:cs="Arial"/>
                <w:i/>
                <w:sz w:val="22"/>
                <w:szCs w:val="22"/>
              </w:rPr>
              <w:t xml:space="preserve"> of the contract, with limited contingencies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39" w:type="dxa"/>
            <w:shd w:val="clear" w:color="auto" w:fill="auto"/>
          </w:tcPr>
          <w:p w14:paraId="25F6B7AD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04F12657" w14:textId="77777777" w:rsidR="00DA4EFF" w:rsidRPr="000C3C46" w:rsidRDefault="00DA4EFF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1A07" w:rsidRPr="000C3C46" w14:paraId="109B7A0F" w14:textId="77777777" w:rsidTr="00126BD4">
        <w:tc>
          <w:tcPr>
            <w:tcW w:w="562" w:type="dxa"/>
            <w:shd w:val="clear" w:color="auto" w:fill="auto"/>
          </w:tcPr>
          <w:p w14:paraId="0CAB15F9" w14:textId="77777777" w:rsidR="003C1A07" w:rsidRPr="000C3C46" w:rsidRDefault="009F717D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EB31C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A76AA08" w14:textId="77777777" w:rsidR="003C1A07" w:rsidRPr="000C3C46" w:rsidRDefault="00DA4EFF" w:rsidP="00C665D9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Health and safety</w:t>
            </w:r>
            <w:r w:rsidR="00C665D9" w:rsidRPr="00C665D9">
              <w:rPr>
                <w:rFonts w:ascii="Calibri" w:hAnsi="Calibri" w:cs="Arial"/>
                <w:sz w:val="22"/>
                <w:szCs w:val="22"/>
              </w:rPr>
              <w:t>?</w:t>
            </w:r>
            <w:r w:rsidR="002363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63D9" w:rsidRPr="002363D9">
              <w:rPr>
                <w:rFonts w:ascii="Calibri" w:hAnsi="Calibri" w:cs="Arial"/>
                <w:sz w:val="22"/>
                <w:szCs w:val="22"/>
              </w:rPr>
              <w:t>(</w:t>
            </w:r>
            <w:r w:rsidR="00C665D9">
              <w:rPr>
                <w:rFonts w:ascii="Calibri" w:hAnsi="Calibri" w:cs="Arial"/>
                <w:sz w:val="22"/>
                <w:szCs w:val="22"/>
              </w:rPr>
              <w:t>For construction, the supplier must comply with our</w:t>
            </w:r>
            <w:r w:rsidR="00C665D9" w:rsidRPr="00C665D9">
              <w:rPr>
                <w:rFonts w:ascii="Calibri" w:hAnsi="Calibri" w:cs="Arial"/>
                <w:sz w:val="22"/>
                <w:szCs w:val="22"/>
              </w:rPr>
              <w:t xml:space="preserve"> Contractors’ General Code of Safe Practice</w:t>
            </w:r>
            <w:r w:rsidR="002363D9" w:rsidRPr="002363D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14:paraId="5565ADB3" w14:textId="77777777" w:rsidR="003C1A07" w:rsidRPr="000C3C46" w:rsidRDefault="003C1A07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8C5A018" w14:textId="77777777" w:rsidR="003C1A07" w:rsidRPr="000C3C46" w:rsidRDefault="003C1A07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7B8C" w:rsidRPr="000C3C46" w14:paraId="6E964810" w14:textId="77777777" w:rsidTr="00126BD4">
        <w:tc>
          <w:tcPr>
            <w:tcW w:w="562" w:type="dxa"/>
          </w:tcPr>
          <w:p w14:paraId="37A653E9" w14:textId="77777777" w:rsidR="00987B8C" w:rsidRDefault="00EB31C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8830" w:type="dxa"/>
            <w:gridSpan w:val="4"/>
            <w:shd w:val="clear" w:color="auto" w:fill="auto"/>
          </w:tcPr>
          <w:p w14:paraId="02EDEFE9" w14:textId="77777777" w:rsidR="00987B8C" w:rsidRPr="00987B8C" w:rsidRDefault="00987B8C" w:rsidP="00987B8C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87B8C">
              <w:rPr>
                <w:rFonts w:ascii="Calibri" w:hAnsi="Calibri" w:cs="Arial"/>
                <w:b/>
                <w:sz w:val="22"/>
                <w:szCs w:val="22"/>
              </w:rPr>
              <w:t>Sustainability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The Procurement Unit uses:</w:t>
            </w:r>
          </w:p>
          <w:p w14:paraId="7D195E16" w14:textId="77777777" w:rsidR="00987B8C" w:rsidRPr="00EB31C4" w:rsidRDefault="00987B8C" w:rsidP="00126BD4">
            <w:pPr>
              <w:pStyle w:val="ListParagraph"/>
              <w:spacing w:before="60" w:after="60" w:line="276" w:lineRule="auto"/>
              <w:ind w:left="370" w:hanging="15"/>
              <w:rPr>
                <w:rFonts w:ascii="Calibri" w:hAnsi="Calibri" w:cs="Arial"/>
                <w:b/>
                <w:sz w:val="16"/>
                <w:szCs w:val="16"/>
              </w:rPr>
            </w:pPr>
            <w:r w:rsidRPr="00EB31C4">
              <w:rPr>
                <w:rFonts w:ascii="Calibri" w:hAnsi="Calibri" w:cs="Arial"/>
                <w:sz w:val="16"/>
                <w:szCs w:val="16"/>
              </w:rPr>
              <w:t>Sustainability Impact Assessments at</w:t>
            </w:r>
            <w:r w:rsidR="00EB31C4" w:rsidRPr="00EB31C4">
              <w:rPr>
                <w:sz w:val="16"/>
                <w:szCs w:val="16"/>
              </w:rPr>
              <w:t xml:space="preserve"> </w:t>
            </w:r>
            <w:r w:rsidR="00EB31C4" w:rsidRPr="00EB31C4">
              <w:rPr>
                <w:rFonts w:ascii="Calibri" w:hAnsi="Calibri" w:cs="Arial"/>
                <w:sz w:val="16"/>
                <w:szCs w:val="16"/>
              </w:rPr>
              <w:t>X:\Finance\Work\Procurement\Policy &amp; Strategy\Sustainability\</w:t>
            </w:r>
            <w:r w:rsidR="00EB31C4">
              <w:rPr>
                <w:rFonts w:ascii="Calibri" w:hAnsi="Calibri" w:cs="Arial"/>
                <w:sz w:val="16"/>
                <w:szCs w:val="16"/>
              </w:rPr>
              <w:t>SIA</w:t>
            </w:r>
          </w:p>
          <w:p w14:paraId="513B64C9" w14:textId="77777777" w:rsidR="00987B8C" w:rsidRPr="00EB31C4" w:rsidRDefault="00987B8C" w:rsidP="00126BD4">
            <w:pPr>
              <w:spacing w:before="60" w:after="60" w:line="276" w:lineRule="auto"/>
              <w:ind w:left="370" w:hanging="15"/>
              <w:rPr>
                <w:rFonts w:ascii="Calibri" w:hAnsi="Calibri" w:cs="Arial"/>
                <w:b/>
                <w:sz w:val="22"/>
                <w:szCs w:val="22"/>
              </w:rPr>
            </w:pPr>
            <w:r w:rsidRPr="00EB31C4">
              <w:rPr>
                <w:rFonts w:ascii="Calibri" w:hAnsi="Calibri" w:cs="Arial"/>
                <w:sz w:val="16"/>
                <w:szCs w:val="16"/>
              </w:rPr>
              <w:t xml:space="preserve">Sustainability tender questions at </w:t>
            </w:r>
            <w:r w:rsidR="00EB31C4" w:rsidRPr="00EB31C4">
              <w:rPr>
                <w:rFonts w:ascii="Calibri" w:hAnsi="Calibri" w:cs="Arial"/>
                <w:sz w:val="16"/>
                <w:szCs w:val="16"/>
              </w:rPr>
              <w:t>X:\Finance\Work\Procurement\Templates &amp; Forms\ITT\Library of Tender Questions</w:t>
            </w:r>
          </w:p>
        </w:tc>
      </w:tr>
      <w:tr w:rsidR="00B13B23" w:rsidRPr="000C3C46" w14:paraId="44DDAA30" w14:textId="77777777" w:rsidTr="00126BD4">
        <w:tc>
          <w:tcPr>
            <w:tcW w:w="562" w:type="dxa"/>
          </w:tcPr>
          <w:p w14:paraId="16576DE0" w14:textId="77777777" w:rsidR="00B13B23" w:rsidRDefault="00EB31C4" w:rsidP="000C3C4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</w:tcPr>
          <w:p w14:paraId="331ED8C2" w14:textId="30D58441" w:rsidR="00B13B23" w:rsidRPr="000C3C46" w:rsidRDefault="00A6248D" w:rsidP="00CD40B4">
            <w:pPr>
              <w:spacing w:line="276" w:lineRule="auto"/>
              <w:ind w:left="57" w:right="5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estimated total contract value £100k+, Is Social Value Portal to be used?</w:t>
            </w:r>
          </w:p>
        </w:tc>
        <w:tc>
          <w:tcPr>
            <w:tcW w:w="4345" w:type="dxa"/>
            <w:shd w:val="clear" w:color="auto" w:fill="auto"/>
          </w:tcPr>
          <w:p w14:paraId="416E4EA9" w14:textId="77777777" w:rsidR="00B13B23" w:rsidRPr="00093DDD" w:rsidRDefault="00B13B23" w:rsidP="000C3C46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Slavery/human trafficking </w:t>
            </w:r>
            <w:r w:rsidRPr="00A4496C">
              <w:rPr>
                <w:rFonts w:ascii="Calibri" w:hAnsi="Calibri" w:cs="Arial"/>
                <w:sz w:val="22"/>
                <w:szCs w:val="22"/>
              </w:rPr>
              <w:t>within the supply chain</w:t>
            </w:r>
            <w:r>
              <w:rPr>
                <w:rFonts w:ascii="Calibri" w:hAnsi="Calibri" w:cs="Arial"/>
                <w:sz w:val="22"/>
                <w:szCs w:val="22"/>
              </w:rPr>
              <w:t>, particularly in low pay sectors (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agriculture, construction, hospitality and manufacturing) and less developed countries?</w:t>
            </w:r>
          </w:p>
          <w:p w14:paraId="3FCC8E79" w14:textId="77777777" w:rsidR="00093DDD" w:rsidRPr="00093DDD" w:rsidRDefault="00093DDD" w:rsidP="00093DDD">
            <w:pPr>
              <w:spacing w:before="60" w:after="60"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093DDD">
              <w:rPr>
                <w:rFonts w:ascii="Calibri" w:hAnsi="Calibri" w:cs="Arial"/>
                <w:i/>
                <w:sz w:val="20"/>
                <w:szCs w:val="20"/>
                <w:u w:val="single"/>
              </w:rPr>
              <w:t>Note</w:t>
            </w:r>
            <w:r w:rsidRPr="00093DDD">
              <w:rPr>
                <w:rFonts w:ascii="Calibri" w:hAnsi="Calibri" w:cs="Arial"/>
                <w:i/>
                <w:sz w:val="20"/>
                <w:szCs w:val="20"/>
              </w:rPr>
              <w:t>: The Procurement Unit uses the Government’s Modern Slavery Assessment Tool</w:t>
            </w:r>
            <w:r w:rsidR="001367D5">
              <w:rPr>
                <w:rFonts w:ascii="Calibri" w:hAnsi="Calibri" w:cs="Arial"/>
                <w:i/>
                <w:sz w:val="20"/>
                <w:szCs w:val="20"/>
              </w:rPr>
              <w:t xml:space="preserve"> at </w:t>
            </w:r>
            <w:r w:rsidR="001367D5" w:rsidRPr="001367D5">
              <w:rPr>
                <w:rFonts w:ascii="Calibri" w:hAnsi="Calibri" w:cs="Arial"/>
                <w:i/>
                <w:sz w:val="20"/>
                <w:szCs w:val="20"/>
              </w:rPr>
              <w:t>X:\Finance\Work\Procurement\Policy &amp; Strategy\Sustainability\Modern Slavery Act 2015\Risk Assessment</w:t>
            </w:r>
          </w:p>
        </w:tc>
        <w:tc>
          <w:tcPr>
            <w:tcW w:w="539" w:type="dxa"/>
            <w:shd w:val="clear" w:color="auto" w:fill="auto"/>
          </w:tcPr>
          <w:p w14:paraId="25829312" w14:textId="77777777" w:rsidR="00B13B23" w:rsidRPr="000C3C46" w:rsidRDefault="00B13B23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D50EE96" w14:textId="77777777" w:rsidR="00B13B23" w:rsidRPr="000C3C46" w:rsidRDefault="00B13B23" w:rsidP="000C3C46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208A422D" w14:textId="77777777" w:rsidTr="00126BD4">
        <w:tc>
          <w:tcPr>
            <w:tcW w:w="562" w:type="dxa"/>
            <w:shd w:val="clear" w:color="auto" w:fill="auto"/>
          </w:tcPr>
          <w:p w14:paraId="06D6C809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531" w:type="dxa"/>
            <w:vMerge/>
            <w:shd w:val="clear" w:color="auto" w:fill="auto"/>
          </w:tcPr>
          <w:p w14:paraId="78C4B78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2DC13046" w14:textId="77777777" w:rsidR="00B13B23" w:rsidRPr="000C3C46" w:rsidRDefault="00B13B23" w:rsidP="009714CB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Equality</w:t>
            </w:r>
            <w:r w:rsidR="009714C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714CB" w:rsidRPr="009714CB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="009714CB" w:rsidRPr="009714CB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="009714CB" w:rsidRPr="009714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14CB">
              <w:rPr>
                <w:rFonts w:ascii="Calibri" w:hAnsi="Calibri" w:cs="Arial"/>
                <w:sz w:val="22"/>
                <w:szCs w:val="22"/>
              </w:rPr>
              <w:t>latest web accessibility s</w:t>
            </w:r>
            <w:r w:rsidR="009714CB" w:rsidRPr="009714CB">
              <w:rPr>
                <w:rFonts w:ascii="Calibri" w:hAnsi="Calibri" w:cs="Arial"/>
                <w:sz w:val="22"/>
                <w:szCs w:val="22"/>
              </w:rPr>
              <w:t>tandards</w:t>
            </w:r>
            <w:r w:rsidR="009714CB">
              <w:rPr>
                <w:rFonts w:ascii="Calibri" w:hAnsi="Calibri" w:cs="Arial"/>
                <w:sz w:val="22"/>
                <w:szCs w:val="22"/>
              </w:rPr>
              <w:t>)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6765C7DE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6B172B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3D5FCD68" w14:textId="77777777" w:rsidTr="00126BD4">
        <w:tc>
          <w:tcPr>
            <w:tcW w:w="562" w:type="dxa"/>
            <w:shd w:val="clear" w:color="auto" w:fill="auto"/>
          </w:tcPr>
          <w:p w14:paraId="73198991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531" w:type="dxa"/>
            <w:vMerge/>
            <w:shd w:val="clear" w:color="auto" w:fill="auto"/>
          </w:tcPr>
          <w:p w14:paraId="35BF7BFC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0E043337" w14:textId="77777777" w:rsidR="00B13B23" w:rsidRPr="000C3C4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 xml:space="preserve">Environment </w:t>
            </w:r>
            <w:r w:rsidRPr="000C3C46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Pr="000C3C46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0C3C46">
              <w:rPr>
                <w:rFonts w:ascii="Calibri" w:hAnsi="Calibri" w:cs="Arial"/>
                <w:sz w:val="22"/>
                <w:szCs w:val="22"/>
              </w:rPr>
              <w:t xml:space="preserve"> carbon emissions)?</w:t>
            </w:r>
          </w:p>
        </w:tc>
        <w:tc>
          <w:tcPr>
            <w:tcW w:w="539" w:type="dxa"/>
            <w:shd w:val="clear" w:color="auto" w:fill="auto"/>
          </w:tcPr>
          <w:p w14:paraId="522D6F17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40BA258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20970948" w14:textId="77777777" w:rsidTr="00126BD4">
        <w:tc>
          <w:tcPr>
            <w:tcW w:w="562" w:type="dxa"/>
            <w:shd w:val="clear" w:color="auto" w:fill="auto"/>
          </w:tcPr>
          <w:p w14:paraId="1F57D48B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531" w:type="dxa"/>
            <w:vMerge/>
            <w:shd w:val="clear" w:color="auto" w:fill="auto"/>
          </w:tcPr>
          <w:p w14:paraId="07819019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1081BA05" w14:textId="77777777" w:rsidR="00B13B23" w:rsidRPr="000C3C46" w:rsidRDefault="00B13B23" w:rsidP="00C94F75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Local economy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94F75" w:rsidRPr="00C94F75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="00C94F75" w:rsidRPr="00C94F75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="00C94F75" w:rsidRPr="00C94F75">
              <w:rPr>
                <w:rFonts w:ascii="Calibri" w:hAnsi="Calibri" w:cs="Arial"/>
                <w:sz w:val="22"/>
                <w:szCs w:val="22"/>
              </w:rPr>
              <w:t xml:space="preserve"> apprenticeship, internship clauses, advertise arising £25k+ subcontract opportunities via Contracts Finder)?</w:t>
            </w:r>
          </w:p>
        </w:tc>
        <w:tc>
          <w:tcPr>
            <w:tcW w:w="539" w:type="dxa"/>
            <w:shd w:val="clear" w:color="auto" w:fill="auto"/>
          </w:tcPr>
          <w:p w14:paraId="5BCA085D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0AFBA9D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004FB41F" w14:textId="77777777" w:rsidTr="00126BD4">
        <w:tc>
          <w:tcPr>
            <w:tcW w:w="562" w:type="dxa"/>
            <w:shd w:val="clear" w:color="auto" w:fill="auto"/>
          </w:tcPr>
          <w:p w14:paraId="5D4BC687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531" w:type="dxa"/>
            <w:vMerge/>
            <w:shd w:val="clear" w:color="auto" w:fill="auto"/>
          </w:tcPr>
          <w:p w14:paraId="3F0C0BCD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4C2D7A62" w14:textId="77777777" w:rsidR="00B13B23" w:rsidRPr="000C3C4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SME-friendly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  <w:r w:rsidR="002831EB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gramStart"/>
            <w:r w:rsidR="002831EB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="002831EB">
              <w:rPr>
                <w:rFonts w:ascii="Calibri" w:hAnsi="Calibri" w:cs="Arial"/>
                <w:sz w:val="22"/>
                <w:szCs w:val="22"/>
              </w:rPr>
              <w:t xml:space="preserve"> unwarranted barriers not created in response to these risks/issues, and </w:t>
            </w:r>
            <w:r w:rsidR="00987B8C">
              <w:rPr>
                <w:rFonts w:ascii="Calibri" w:hAnsi="Calibri" w:cs="Arial"/>
                <w:sz w:val="22"/>
                <w:szCs w:val="22"/>
              </w:rPr>
              <w:t xml:space="preserve">by </w:t>
            </w:r>
            <w:proofErr w:type="spellStart"/>
            <w:r w:rsidR="002831EB">
              <w:rPr>
                <w:rFonts w:ascii="Calibri" w:hAnsi="Calibri" w:cs="Arial"/>
                <w:sz w:val="22"/>
                <w:szCs w:val="22"/>
              </w:rPr>
              <w:t>Ts&amp;Cs</w:t>
            </w:r>
            <w:proofErr w:type="spellEnd"/>
            <w:r w:rsidR="002831EB">
              <w:rPr>
                <w:rFonts w:ascii="Calibri" w:hAnsi="Calibri" w:cs="Arial"/>
                <w:sz w:val="22"/>
                <w:szCs w:val="22"/>
              </w:rPr>
              <w:t xml:space="preserve"> (below))</w:t>
            </w:r>
          </w:p>
        </w:tc>
        <w:tc>
          <w:tcPr>
            <w:tcW w:w="539" w:type="dxa"/>
            <w:shd w:val="clear" w:color="auto" w:fill="auto"/>
          </w:tcPr>
          <w:p w14:paraId="07BCE350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469222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135B3229" w14:textId="77777777" w:rsidTr="00126BD4">
        <w:tc>
          <w:tcPr>
            <w:tcW w:w="562" w:type="dxa"/>
            <w:shd w:val="clear" w:color="auto" w:fill="auto"/>
          </w:tcPr>
          <w:p w14:paraId="0CBDB240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2</w:t>
            </w:r>
            <w:r w:rsidR="00EB31C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646C0270" w14:textId="77777777" w:rsidR="00B13B23" w:rsidRPr="000C3C4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Intellectual property rights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1EA66BF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188420F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1C57AD56" w14:textId="77777777" w:rsidTr="00126BD4">
        <w:tc>
          <w:tcPr>
            <w:tcW w:w="562" w:type="dxa"/>
            <w:shd w:val="clear" w:color="auto" w:fill="auto"/>
          </w:tcPr>
          <w:p w14:paraId="2CA01A59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2</w:t>
            </w:r>
            <w:r w:rsidR="00EB31C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51F9ECD" w14:textId="77777777" w:rsidR="00B13B23" w:rsidRPr="000C3C46" w:rsidRDefault="00B13B23" w:rsidP="001367D5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TUPE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  <w:r w:rsidR="001367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367D5" w:rsidRPr="001367D5">
              <w:rPr>
                <w:rFonts w:ascii="Calibri" w:hAnsi="Calibri" w:cs="Arial"/>
                <w:sz w:val="22"/>
                <w:szCs w:val="22"/>
              </w:rPr>
              <w:t xml:space="preserve">Guidance, incl. risk assessment, </w:t>
            </w:r>
            <w:hyperlink r:id="rId13" w:history="1">
              <w:r w:rsidR="001367D5" w:rsidRPr="001367D5">
                <w:rPr>
                  <w:rStyle w:val="Hyperlink"/>
                  <w:rFonts w:ascii="Calibri" w:hAnsi="Calibri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539" w:type="dxa"/>
            <w:shd w:val="clear" w:color="auto" w:fill="auto"/>
          </w:tcPr>
          <w:p w14:paraId="791BE979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3ED8C057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54BC7D31" w14:textId="77777777" w:rsidTr="00126BD4">
        <w:tc>
          <w:tcPr>
            <w:tcW w:w="562" w:type="dxa"/>
            <w:shd w:val="clear" w:color="auto" w:fill="auto"/>
          </w:tcPr>
          <w:p w14:paraId="6AA18D03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lastRenderedPageBreak/>
              <w:t>2</w:t>
            </w:r>
            <w:r w:rsidR="00EB31C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52ABA4F3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Agreed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Selection and Award criteria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(including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price/quality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split)?</w:t>
            </w:r>
          </w:p>
        </w:tc>
        <w:tc>
          <w:tcPr>
            <w:tcW w:w="539" w:type="dxa"/>
            <w:shd w:val="clear" w:color="auto" w:fill="auto"/>
          </w:tcPr>
          <w:p w14:paraId="1DE3D798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8D2A97A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1292B6B6" w14:textId="77777777" w:rsidTr="00126BD4">
        <w:tc>
          <w:tcPr>
            <w:tcW w:w="562" w:type="dxa"/>
            <w:shd w:val="clear" w:color="auto" w:fill="auto"/>
          </w:tcPr>
          <w:p w14:paraId="5E1BB2C4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67A5ED9B" w14:textId="77777777" w:rsidR="00CB1762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Established structure of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pricing schedule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  <w:r w:rsidR="006E21C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3993C6E" w14:textId="77777777" w:rsidR="00B13B23" w:rsidRPr="00CB1762" w:rsidRDefault="006E21CC" w:rsidP="00CB1762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CB1762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CB1762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CB1762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="00CB1762" w:rsidRPr="00CB1762">
              <w:rPr>
                <w:rFonts w:ascii="Calibri" w:hAnsi="Calibri" w:cs="Arial"/>
                <w:i/>
                <w:sz w:val="22"/>
                <w:szCs w:val="22"/>
              </w:rPr>
              <w:t xml:space="preserve">f determined as scalable </w:t>
            </w:r>
            <w:r w:rsidR="00CB1762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 w:rsidR="00CB1762" w:rsidRPr="00CB1762">
              <w:rPr>
                <w:rFonts w:ascii="Calibri" w:hAnsi="Calibri" w:cs="Arial"/>
                <w:i/>
                <w:sz w:val="22"/>
                <w:szCs w:val="22"/>
              </w:rPr>
              <w:t>above</w:t>
            </w:r>
            <w:r w:rsidR="00CB1762">
              <w:rPr>
                <w:rFonts w:ascii="Calibri" w:hAnsi="Calibri" w:cs="Arial"/>
                <w:i/>
                <w:sz w:val="22"/>
                <w:szCs w:val="22"/>
              </w:rPr>
              <w:t>),</w:t>
            </w:r>
            <w:r w:rsidR="00CB1762" w:rsidRPr="00CB1762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CB1762">
              <w:rPr>
                <w:rFonts w:ascii="Calibri" w:hAnsi="Calibri" w:cs="Arial"/>
                <w:i/>
                <w:sz w:val="22"/>
                <w:szCs w:val="22"/>
              </w:rPr>
              <w:t>c</w:t>
            </w:r>
            <w:r w:rsidRPr="00CB1762">
              <w:rPr>
                <w:rFonts w:ascii="Calibri" w:hAnsi="Calibri" w:cs="Arial"/>
                <w:i/>
                <w:sz w:val="22"/>
                <w:szCs w:val="22"/>
              </w:rPr>
              <w:t xml:space="preserve">onsider a sliding scale of unit prices </w:t>
            </w:r>
            <w:r w:rsidR="00CB1762">
              <w:rPr>
                <w:rFonts w:ascii="Calibri" w:hAnsi="Calibri" w:cs="Arial"/>
                <w:i/>
                <w:sz w:val="22"/>
                <w:szCs w:val="22"/>
              </w:rPr>
              <w:t>by volume</w:t>
            </w:r>
            <w:r w:rsidR="00FC6E81">
              <w:rPr>
                <w:rFonts w:ascii="Calibri" w:hAnsi="Calibri" w:cs="Arial"/>
                <w:i/>
                <w:sz w:val="22"/>
                <w:szCs w:val="22"/>
              </w:rPr>
              <w:t>,</w:t>
            </w:r>
            <w:r w:rsidR="00CB1762">
              <w:rPr>
                <w:rFonts w:ascii="Calibri" w:hAnsi="Calibri" w:cs="Arial"/>
                <w:i/>
                <w:sz w:val="22"/>
                <w:szCs w:val="22"/>
              </w:rPr>
              <w:t xml:space="preserve"> or rebates </w:t>
            </w:r>
          </w:p>
        </w:tc>
        <w:tc>
          <w:tcPr>
            <w:tcW w:w="539" w:type="dxa"/>
            <w:shd w:val="clear" w:color="auto" w:fill="auto"/>
          </w:tcPr>
          <w:p w14:paraId="08B04219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6CE46F67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1900E138" w14:textId="77777777" w:rsidTr="00126BD4">
        <w:tc>
          <w:tcPr>
            <w:tcW w:w="562" w:type="dxa"/>
            <w:shd w:val="clear" w:color="auto" w:fill="auto"/>
          </w:tcPr>
          <w:p w14:paraId="21781400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6A3FA1A" w14:textId="77777777" w:rsidR="00CA3236" w:rsidRDefault="00B13B23" w:rsidP="00CA3236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University’s standard </w:t>
            </w:r>
            <w:r w:rsidR="00CA3236">
              <w:rPr>
                <w:rFonts w:ascii="Calibri" w:hAnsi="Calibri" w:cs="Arial"/>
                <w:b/>
                <w:sz w:val="22"/>
                <w:szCs w:val="22"/>
              </w:rPr>
              <w:t>terms and conditions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to be used?</w:t>
            </w:r>
            <w:r w:rsidR="00CA323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BBE7078" w14:textId="77777777" w:rsidR="00B13B23" w:rsidRPr="00CA3236" w:rsidRDefault="00CA3236" w:rsidP="00CA3236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774BDB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CA3236">
              <w:rPr>
                <w:rFonts w:ascii="Calibri" w:hAnsi="Calibri" w:cs="Arial"/>
                <w:i/>
                <w:sz w:val="22"/>
                <w:szCs w:val="22"/>
              </w:rPr>
              <w:t xml:space="preserve">: Framework agreement call-off </w:t>
            </w:r>
            <w:proofErr w:type="spellStart"/>
            <w:r w:rsidRPr="00CA3236">
              <w:rPr>
                <w:rFonts w:ascii="Calibri" w:hAnsi="Calibri" w:cs="Arial"/>
                <w:i/>
                <w:sz w:val="22"/>
                <w:szCs w:val="22"/>
              </w:rPr>
              <w:t>Ts&amp;Cs</w:t>
            </w:r>
            <w:proofErr w:type="spellEnd"/>
            <w:r w:rsidRPr="00CA3236">
              <w:rPr>
                <w:rFonts w:ascii="Calibri" w:hAnsi="Calibri" w:cs="Arial"/>
                <w:i/>
                <w:sz w:val="22"/>
                <w:szCs w:val="22"/>
              </w:rPr>
              <w:t xml:space="preserve"> and JCT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f</w:t>
            </w:r>
            <w:r w:rsidRPr="00CA3236">
              <w:rPr>
                <w:rFonts w:ascii="Calibri" w:hAnsi="Calibri" w:cs="Arial"/>
                <w:i/>
                <w:sz w:val="22"/>
                <w:szCs w:val="22"/>
              </w:rPr>
              <w:t>orms of contract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,</w:t>
            </w:r>
            <w:r w:rsidRPr="00CA3236">
              <w:rPr>
                <w:rFonts w:ascii="Calibri" w:hAnsi="Calibri" w:cs="Arial"/>
                <w:i/>
                <w:sz w:val="22"/>
                <w:szCs w:val="22"/>
              </w:rPr>
              <w:t xml:space="preserve"> are also acceptable</w:t>
            </w:r>
            <w:r w:rsidR="001367D5">
              <w:rPr>
                <w:rFonts w:ascii="Calibri" w:hAnsi="Calibri" w:cs="Arial"/>
                <w:i/>
                <w:sz w:val="22"/>
                <w:szCs w:val="22"/>
              </w:rPr>
              <w:t xml:space="preserve">. Any changes to default </w:t>
            </w:r>
            <w:r w:rsidR="00D934FD">
              <w:rPr>
                <w:rFonts w:ascii="Calibri" w:hAnsi="Calibri" w:cs="Arial"/>
                <w:i/>
                <w:sz w:val="22"/>
                <w:szCs w:val="22"/>
              </w:rPr>
              <w:t xml:space="preserve">insurance levels/indemnity limits </w:t>
            </w:r>
            <w:r w:rsidR="00FC6E81">
              <w:rPr>
                <w:rFonts w:ascii="Calibri" w:hAnsi="Calibri" w:cs="Arial"/>
                <w:i/>
                <w:sz w:val="22"/>
                <w:szCs w:val="22"/>
              </w:rPr>
              <w:t xml:space="preserve">(above) </w:t>
            </w:r>
            <w:r w:rsidR="00D934FD">
              <w:rPr>
                <w:rFonts w:ascii="Calibri" w:hAnsi="Calibri" w:cs="Arial"/>
                <w:i/>
                <w:sz w:val="22"/>
                <w:szCs w:val="22"/>
              </w:rPr>
              <w:t xml:space="preserve">need reflecting in the </w:t>
            </w:r>
            <w:proofErr w:type="spellStart"/>
            <w:r w:rsidR="00D934FD">
              <w:rPr>
                <w:rFonts w:ascii="Calibri" w:hAnsi="Calibri" w:cs="Arial"/>
                <w:i/>
                <w:sz w:val="22"/>
                <w:szCs w:val="22"/>
              </w:rPr>
              <w:t>Ts&amp;Cs</w:t>
            </w:r>
            <w:proofErr w:type="spellEnd"/>
            <w:r w:rsidRPr="00CA323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14:paraId="43ED67D6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05B55815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65E98FE2" w14:textId="77777777" w:rsidTr="00126BD4">
        <w:tc>
          <w:tcPr>
            <w:tcW w:w="562" w:type="dxa"/>
            <w:shd w:val="clear" w:color="auto" w:fill="auto"/>
          </w:tcPr>
          <w:p w14:paraId="51CCCEAD" w14:textId="77777777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9219891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Any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external funding body requirements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are reflected in the tender document / contract conditions (</w:t>
            </w:r>
            <w:proofErr w:type="gramStart"/>
            <w:r w:rsidRPr="000C3C46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0C3C46">
              <w:rPr>
                <w:rFonts w:ascii="Calibri" w:hAnsi="Calibri" w:cs="Arial"/>
                <w:sz w:val="22"/>
                <w:szCs w:val="22"/>
              </w:rPr>
              <w:t xml:space="preserve"> ERDF requirements)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58E6C4B9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2815C31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E4B5A" w:rsidRPr="000C3C46" w14:paraId="43E76877" w14:textId="77777777" w:rsidTr="00126BD4">
        <w:tc>
          <w:tcPr>
            <w:tcW w:w="562" w:type="dxa"/>
            <w:shd w:val="clear" w:color="auto" w:fill="auto"/>
          </w:tcPr>
          <w:p w14:paraId="4C41C517" w14:textId="77777777" w:rsidR="006E4B5A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232E417" w14:textId="77777777" w:rsidR="006E4B5A" w:rsidRDefault="006E4B5A" w:rsidP="00B13B23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B5A">
              <w:rPr>
                <w:rFonts w:asciiTheme="minorHAnsi" w:hAnsiTheme="minorHAnsi" w:cstheme="minorHAnsi"/>
                <w:sz w:val="22"/>
                <w:szCs w:val="22"/>
              </w:rPr>
              <w:t>Involves the purchase of materials, technology and/or knowledge which (</w:t>
            </w:r>
            <w:proofErr w:type="spellStart"/>
            <w:r w:rsidRPr="006E4B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E4B5A">
              <w:rPr>
                <w:rFonts w:asciiTheme="minorHAnsi" w:hAnsiTheme="minorHAnsi" w:cstheme="minorHAnsi"/>
                <w:sz w:val="22"/>
                <w:szCs w:val="22"/>
              </w:rPr>
              <w:t xml:space="preserve">) could have </w:t>
            </w:r>
            <w:r w:rsidRPr="006E4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military application</w:t>
            </w:r>
            <w:r w:rsidRPr="006E4B5A">
              <w:rPr>
                <w:rFonts w:asciiTheme="minorHAnsi" w:hAnsiTheme="minorHAnsi" w:cstheme="minorHAnsi"/>
                <w:sz w:val="22"/>
                <w:szCs w:val="22"/>
              </w:rPr>
              <w:t xml:space="preserve"> (ii) will require an End Use Certificate and/or (iii) explicitly requires compliance with domestic or international Export Control regulations?</w:t>
            </w:r>
          </w:p>
          <w:p w14:paraId="45650CF0" w14:textId="77777777" w:rsidR="00CA3236" w:rsidRPr="00CA3236" w:rsidRDefault="00CA3236" w:rsidP="001367D5">
            <w:pPr>
              <w:spacing w:before="60"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67D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Note</w:t>
            </w:r>
            <w:r w:rsidRPr="00CA32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The Procurement Unit holds special </w:t>
            </w:r>
            <w:r w:rsidR="001367D5">
              <w:rPr>
                <w:rFonts w:asciiTheme="minorHAnsi" w:hAnsiTheme="minorHAnsi" w:cstheme="minorHAnsi"/>
                <w:i/>
                <w:sz w:val="22"/>
                <w:szCs w:val="22"/>
              </w:rPr>
              <w:t>clauses</w:t>
            </w:r>
            <w:r w:rsidRPr="00CA32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at X:\Finance\Work\Procurement\Templates &amp; Forms\_Terms &amp; Conditions\Export Control</w:t>
            </w:r>
          </w:p>
        </w:tc>
        <w:tc>
          <w:tcPr>
            <w:tcW w:w="539" w:type="dxa"/>
            <w:shd w:val="clear" w:color="auto" w:fill="auto"/>
          </w:tcPr>
          <w:p w14:paraId="50AE3112" w14:textId="77777777" w:rsidR="006E4B5A" w:rsidRPr="000C3C46" w:rsidRDefault="006E4B5A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59D703B" w14:textId="77777777" w:rsidR="006E4B5A" w:rsidRPr="000C3C46" w:rsidRDefault="006E4B5A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6326" w:rsidRPr="000C3C46" w14:paraId="40062A06" w14:textId="77777777" w:rsidTr="00126BD4">
        <w:tc>
          <w:tcPr>
            <w:tcW w:w="562" w:type="dxa"/>
            <w:shd w:val="clear" w:color="auto" w:fill="auto"/>
          </w:tcPr>
          <w:p w14:paraId="79A08B65" w14:textId="21796A96" w:rsidR="00376326" w:rsidRPr="000C3C46" w:rsidRDefault="00376326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966E4D1" w14:textId="398172FB" w:rsidR="00376326" w:rsidRDefault="00376326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 product/software to </w:t>
            </w:r>
            <w:r w:rsidRPr="00376326">
              <w:rPr>
                <w:rFonts w:ascii="Calibri" w:hAnsi="Calibri" w:cs="Arial"/>
                <w:b/>
                <w:bCs/>
                <w:sz w:val="22"/>
                <w:szCs w:val="22"/>
              </w:rPr>
              <w:t>process payments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the University, whether e-commerce or </w:t>
            </w:r>
            <w:r w:rsidRPr="00376326">
              <w:rPr>
                <w:rFonts w:ascii="Calibri" w:hAnsi="Calibri" w:cs="Arial"/>
                <w:sz w:val="22"/>
                <w:szCs w:val="22"/>
              </w:rPr>
              <w:t>physical credit/debit card</w:t>
            </w:r>
            <w:r w:rsidR="00161962" w:rsidRPr="00161962">
              <w:rPr>
                <w:rFonts w:ascii="Calibri" w:hAnsi="Calibri" w:cs="Arial"/>
                <w:sz w:val="22"/>
                <w:szCs w:val="22"/>
              </w:rPr>
              <w:t xml:space="preserve"> via PDQ machine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1F10A8F0" w14:textId="2FF190D2" w:rsidR="00161962" w:rsidRPr="00161962" w:rsidRDefault="00161962" w:rsidP="00B13B23">
            <w:pPr>
              <w:spacing w:before="60" w:after="60" w:line="276" w:lineRule="auto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6196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Note</w:t>
            </w:r>
            <w:r w:rsidRPr="00161962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If </w:t>
            </w:r>
            <w:r w:rsidR="00774BDB">
              <w:rPr>
                <w:rFonts w:ascii="Calibri" w:hAnsi="Calibri" w:cs="Arial"/>
                <w:i/>
                <w:iCs/>
                <w:sz w:val="22"/>
                <w:szCs w:val="22"/>
              </w:rPr>
              <w:t>card via PDQ m/c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, </w:t>
            </w:r>
            <w:r w:rsidRPr="00161962">
              <w:rPr>
                <w:rFonts w:ascii="Calibri" w:hAnsi="Calibri" w:cs="Arial"/>
                <w:i/>
                <w:iCs/>
                <w:sz w:val="22"/>
                <w:szCs w:val="22"/>
              </w:rPr>
              <w:t>PCI DSS attestation of compliance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required</w:t>
            </w:r>
            <w:r w:rsidR="00774BD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from provider and processor</w:t>
            </w:r>
            <w:r w:rsidR="00A23362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, and include the clause at </w:t>
            </w:r>
            <w:r w:rsidR="00A23362" w:rsidRPr="00A23362">
              <w:rPr>
                <w:rFonts w:ascii="Calibri" w:hAnsi="Calibri" w:cs="Arial"/>
                <w:i/>
                <w:iCs/>
                <w:sz w:val="22"/>
                <w:szCs w:val="22"/>
              </w:rPr>
              <w:t>X:\Finance\Work\</w:t>
            </w:r>
            <w:r w:rsidR="00A23362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A23362" w:rsidRPr="00A23362">
              <w:rPr>
                <w:rFonts w:ascii="Calibri" w:hAnsi="Calibri" w:cs="Arial"/>
                <w:i/>
                <w:iCs/>
                <w:sz w:val="22"/>
                <w:szCs w:val="22"/>
              </w:rPr>
              <w:t>Procurement\Templates &amp; Forms\_Terms &amp; Conditions\PCI Compliance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r w:rsidR="00774BD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e</w:t>
            </w:r>
            <w:r w:rsidRPr="00161962">
              <w:rPr>
                <w:rFonts w:ascii="Calibri" w:hAnsi="Calibri" w:cs="Arial"/>
                <w:i/>
                <w:iCs/>
                <w:sz w:val="22"/>
                <w:szCs w:val="22"/>
              </w:rPr>
              <w:t>-commerce</w:t>
            </w:r>
            <w:r w:rsidR="00774BDB">
              <w:rPr>
                <w:rFonts w:ascii="Calibri" w:hAnsi="Calibri" w:cs="Arial"/>
                <w:i/>
                <w:iCs/>
                <w:sz w:val="22"/>
                <w:szCs w:val="22"/>
              </w:rPr>
              <w:t>,</w:t>
            </w:r>
            <w:r w:rsidRPr="00161962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usually via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Flywire. If income, University bank details uploaded? If refunds, D/D set up on </w:t>
            </w:r>
            <w:proofErr w:type="gramStart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University</w:t>
            </w:r>
            <w:proofErr w:type="gramEnd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bank account? If D/D,</w:t>
            </w:r>
            <w:r>
              <w:t xml:space="preserve"> </w:t>
            </w:r>
            <w:r w:rsidRPr="00161962">
              <w:rPr>
                <w:rFonts w:ascii="Calibri" w:hAnsi="Calibri" w:cs="Arial"/>
                <w:i/>
                <w:iCs/>
                <w:sz w:val="22"/>
                <w:szCs w:val="22"/>
              </w:rPr>
              <w:t>bank account data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to be processed?</w:t>
            </w:r>
            <w:r w:rsidR="00774BD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Contact </w:t>
            </w:r>
            <w:r w:rsidR="00D64D5C">
              <w:rPr>
                <w:rFonts w:ascii="Calibri" w:hAnsi="Calibri" w:cs="Arial"/>
                <w:i/>
                <w:iCs/>
                <w:sz w:val="22"/>
                <w:szCs w:val="22"/>
              </w:rPr>
              <w:t>Head of Financial Control</w:t>
            </w:r>
          </w:p>
        </w:tc>
        <w:tc>
          <w:tcPr>
            <w:tcW w:w="539" w:type="dxa"/>
            <w:shd w:val="clear" w:color="auto" w:fill="auto"/>
          </w:tcPr>
          <w:p w14:paraId="5D2DD3C8" w14:textId="77777777" w:rsidR="00376326" w:rsidRPr="000C3C46" w:rsidRDefault="00376326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2227C45" w14:textId="77777777" w:rsidR="00376326" w:rsidRPr="000C3C46" w:rsidRDefault="00376326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2FED81D4" w14:textId="77777777" w:rsidTr="00126BD4">
        <w:tc>
          <w:tcPr>
            <w:tcW w:w="562" w:type="dxa"/>
            <w:shd w:val="clear" w:color="auto" w:fill="auto"/>
          </w:tcPr>
          <w:p w14:paraId="1F9F7FB0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44F25057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Effective ongoing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contract management</w:t>
            </w:r>
            <w:r w:rsidRPr="000C3C46">
              <w:rPr>
                <w:rFonts w:ascii="Calibri" w:hAnsi="Calibri" w:cs="Arial"/>
                <w:sz w:val="22"/>
                <w:szCs w:val="22"/>
              </w:rPr>
              <w:t xml:space="preserve"> is assisted by: </w:t>
            </w:r>
          </w:p>
        </w:tc>
        <w:tc>
          <w:tcPr>
            <w:tcW w:w="539" w:type="dxa"/>
            <w:shd w:val="clear" w:color="auto" w:fill="auto"/>
          </w:tcPr>
          <w:p w14:paraId="1F00E56F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006EA646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59CFE551" w14:textId="77777777" w:rsidTr="00126BD4">
        <w:tc>
          <w:tcPr>
            <w:tcW w:w="562" w:type="dxa"/>
            <w:shd w:val="clear" w:color="auto" w:fill="auto"/>
          </w:tcPr>
          <w:p w14:paraId="459A76E9" w14:textId="5A0653FA" w:rsidR="00B13B23" w:rsidRPr="000C3C46" w:rsidRDefault="00376326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51D0A644" w14:textId="77777777" w:rsidR="00B13B23" w:rsidRPr="000C3C4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Dedicated Contract Manager</w:t>
            </w:r>
            <w:r w:rsidRPr="003A33AD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4C876A26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02001FC8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49C540FD" w14:textId="77777777" w:rsidTr="00126BD4">
        <w:tc>
          <w:tcPr>
            <w:tcW w:w="562" w:type="dxa"/>
            <w:shd w:val="clear" w:color="auto" w:fill="auto"/>
          </w:tcPr>
          <w:p w14:paraId="179D2DF8" w14:textId="3E909D47" w:rsidR="00B13B23" w:rsidRPr="000C3C46" w:rsidRDefault="00B13B23" w:rsidP="00EB31C4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03F94FE6" w14:textId="77777777" w:rsidR="00B13B23" w:rsidRPr="000C3C4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Management information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0E7AE501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BAFFE8E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372EA2A8" w14:textId="77777777" w:rsidTr="00126BD4">
        <w:tc>
          <w:tcPr>
            <w:tcW w:w="562" w:type="dxa"/>
            <w:shd w:val="clear" w:color="auto" w:fill="auto"/>
          </w:tcPr>
          <w:p w14:paraId="2F5AF49D" w14:textId="7636E071" w:rsidR="00B13B23" w:rsidRPr="000C3C46" w:rsidRDefault="00EB31C4" w:rsidP="00EB31C4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lastRenderedPageBreak/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4F67088C" w14:textId="77777777" w:rsidR="00B13B23" w:rsidRPr="00CA323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Service Level Agreement /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Key Performance Indicators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(Technical and/or Contract based)</w:t>
            </w:r>
          </w:p>
          <w:p w14:paraId="3EBFB0B6" w14:textId="77777777" w:rsidR="00CA3236" w:rsidRPr="00CA3236" w:rsidRDefault="00CA3236" w:rsidP="00CA3236">
            <w:pPr>
              <w:spacing w:before="60" w:after="60" w:line="276" w:lineRule="auto"/>
              <w:ind w:left="360"/>
              <w:rPr>
                <w:rFonts w:ascii="Calibri" w:hAnsi="Calibri" w:cs="Arial"/>
                <w:i/>
                <w:sz w:val="22"/>
                <w:szCs w:val="22"/>
              </w:rPr>
            </w:pPr>
            <w:r w:rsidRPr="00CA3236">
              <w:rPr>
                <w:rFonts w:ascii="Calibri" w:hAnsi="Calibri" w:cs="Arial"/>
                <w:i/>
                <w:sz w:val="22"/>
                <w:szCs w:val="22"/>
              </w:rPr>
              <w:t>Note: A maximum of six KPIs are advisable</w:t>
            </w:r>
          </w:p>
        </w:tc>
        <w:tc>
          <w:tcPr>
            <w:tcW w:w="539" w:type="dxa"/>
            <w:shd w:val="clear" w:color="auto" w:fill="auto"/>
          </w:tcPr>
          <w:p w14:paraId="5AEB056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053AADEA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3902D959" w14:textId="77777777" w:rsidTr="00126BD4">
        <w:tc>
          <w:tcPr>
            <w:tcW w:w="562" w:type="dxa"/>
            <w:shd w:val="clear" w:color="auto" w:fill="auto"/>
          </w:tcPr>
          <w:p w14:paraId="1322C6CC" w14:textId="5A8D264B" w:rsidR="00B13B23" w:rsidRPr="000C3C46" w:rsidRDefault="00EB31C4" w:rsidP="00EB31C4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83149B1" w14:textId="77777777" w:rsidR="00B13B23" w:rsidRPr="000C3C46" w:rsidRDefault="00B13B23" w:rsidP="00B13B2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C3C46">
              <w:rPr>
                <w:rFonts w:ascii="Calibri" w:hAnsi="Calibri" w:cs="Arial"/>
                <w:b/>
                <w:sz w:val="22"/>
                <w:szCs w:val="22"/>
              </w:rPr>
              <w:t>Liquidated damages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55E4CD03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599D165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74B5941E" w14:textId="77777777" w:rsidTr="00126BD4">
        <w:tc>
          <w:tcPr>
            <w:tcW w:w="562" w:type="dxa"/>
            <w:shd w:val="clear" w:color="auto" w:fill="auto"/>
          </w:tcPr>
          <w:p w14:paraId="3D58F403" w14:textId="2FEFD996" w:rsidR="00B13B23" w:rsidRDefault="00EB31C4" w:rsidP="00EB31C4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895F846" w14:textId="77777777" w:rsidR="00B13B23" w:rsidRPr="0078493F" w:rsidRDefault="00B13B23" w:rsidP="00B13B23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8493F">
              <w:rPr>
                <w:rFonts w:ascii="Calibri" w:hAnsi="Calibri" w:cs="Arial"/>
                <w:b/>
                <w:sz w:val="22"/>
                <w:szCs w:val="22"/>
              </w:rPr>
              <w:t>Reset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c</w:t>
            </w:r>
            <w:r w:rsidRPr="0078493F">
              <w:rPr>
                <w:rFonts w:ascii="Calibri" w:hAnsi="Calibri" w:cs="Arial"/>
                <w:sz w:val="22"/>
                <w:szCs w:val="22"/>
              </w:rPr>
              <w:t xml:space="preserve">hecking </w:t>
            </w:r>
            <w:r>
              <w:rPr>
                <w:rFonts w:ascii="Calibri" w:hAnsi="Calibri" w:cs="Arial"/>
                <w:sz w:val="22"/>
                <w:szCs w:val="22"/>
              </w:rPr>
              <w:t>and t</w:t>
            </w:r>
            <w:r w:rsidRPr="0078493F">
              <w:rPr>
                <w:rFonts w:ascii="Calibri" w:hAnsi="Calibri" w:cs="Arial"/>
                <w:sz w:val="22"/>
                <w:szCs w:val="22"/>
              </w:rPr>
              <w:t xml:space="preserve">racking </w:t>
            </w:r>
            <w:r>
              <w:rPr>
                <w:rFonts w:ascii="Calibri" w:hAnsi="Calibri" w:cs="Arial"/>
                <w:sz w:val="22"/>
                <w:szCs w:val="22"/>
              </w:rPr>
              <w:t>on-site supplier staff?</w:t>
            </w:r>
          </w:p>
        </w:tc>
        <w:tc>
          <w:tcPr>
            <w:tcW w:w="539" w:type="dxa"/>
            <w:shd w:val="clear" w:color="auto" w:fill="auto"/>
          </w:tcPr>
          <w:p w14:paraId="4C625F75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74F4F706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15FA3CDD" w14:textId="77777777" w:rsidTr="00126BD4">
        <w:tc>
          <w:tcPr>
            <w:tcW w:w="562" w:type="dxa"/>
            <w:shd w:val="clear" w:color="auto" w:fill="auto"/>
          </w:tcPr>
          <w:p w14:paraId="75003550" w14:textId="4FF0D5F3" w:rsidR="00B13B23" w:rsidRPr="000C3C46" w:rsidRDefault="00EB31C4" w:rsidP="00EB31C4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240A25FD" w14:textId="77777777" w:rsidR="00B13B23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Appropriate to use </w:t>
            </w:r>
            <w:proofErr w:type="spellStart"/>
            <w:r w:rsidRPr="0018029B">
              <w:rPr>
                <w:rFonts w:ascii="Calibri" w:hAnsi="Calibri" w:cs="Arial"/>
                <w:b/>
                <w:sz w:val="22"/>
                <w:szCs w:val="22"/>
              </w:rPr>
              <w:t>Sciencewarehouse</w:t>
            </w:r>
            <w:proofErr w:type="spellEnd"/>
            <w:r w:rsidRPr="0018029B">
              <w:rPr>
                <w:rFonts w:ascii="Calibri" w:hAnsi="Calibri" w:cs="Arial"/>
                <w:b/>
                <w:sz w:val="22"/>
                <w:szCs w:val="22"/>
              </w:rPr>
              <w:t xml:space="preserve"> e-Catalogue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3460325A" w14:textId="77777777" w:rsidR="005A2E49" w:rsidRPr="005A2E49" w:rsidRDefault="005A2E49" w:rsidP="005A2E49">
            <w:pPr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5A2E49">
              <w:rPr>
                <w:rFonts w:ascii="Calibri" w:hAnsi="Calibri" w:cs="Arial"/>
                <w:i/>
                <w:sz w:val="22"/>
                <w:szCs w:val="22"/>
                <w:u w:val="single"/>
              </w:rPr>
              <w:t>Note</w:t>
            </w:r>
            <w:r w:rsidRPr="005A2E49">
              <w:rPr>
                <w:rFonts w:ascii="Calibri" w:hAnsi="Calibri" w:cs="Arial"/>
                <w:i/>
                <w:sz w:val="22"/>
                <w:szCs w:val="22"/>
              </w:rPr>
              <w:t>: If so, include the Catalogue Agreement within the Invitation to Tender</w:t>
            </w:r>
          </w:p>
        </w:tc>
        <w:tc>
          <w:tcPr>
            <w:tcW w:w="539" w:type="dxa"/>
            <w:shd w:val="clear" w:color="auto" w:fill="auto"/>
          </w:tcPr>
          <w:p w14:paraId="69787F8F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4EC27B1F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2AC5" w:rsidRPr="000C3C46" w14:paraId="163137A6" w14:textId="77777777" w:rsidTr="00126BD4">
        <w:tc>
          <w:tcPr>
            <w:tcW w:w="562" w:type="dxa"/>
            <w:shd w:val="clear" w:color="auto" w:fill="auto"/>
          </w:tcPr>
          <w:p w14:paraId="3BFDB3A4" w14:textId="4BA31C53" w:rsidR="00382AC5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0EE16DC0" w14:textId="77777777" w:rsidR="00382AC5" w:rsidRPr="000C3C46" w:rsidRDefault="00382AC5" w:rsidP="00382AC5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Opportunity for </w:t>
            </w:r>
            <w:r w:rsidRPr="008D555A">
              <w:rPr>
                <w:rFonts w:ascii="Calibri" w:hAnsi="Calibri" w:cs="Arial"/>
                <w:b/>
                <w:bCs/>
                <w:sz w:val="22"/>
                <w:szCs w:val="22"/>
              </w:rPr>
              <w:t>payment efficiencies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via consolidated invoices, e-invoicing or embedded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pCard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793C2A0D" w14:textId="77777777" w:rsidR="00382AC5" w:rsidRPr="000C3C46" w:rsidRDefault="00382AC5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1426239F" w14:textId="77777777" w:rsidR="00382AC5" w:rsidRPr="000C3C46" w:rsidRDefault="00382AC5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13B23" w:rsidRPr="000C3C46" w14:paraId="683CC999" w14:textId="77777777" w:rsidTr="00126BD4">
        <w:tc>
          <w:tcPr>
            <w:tcW w:w="562" w:type="dxa"/>
            <w:shd w:val="clear" w:color="auto" w:fill="auto"/>
          </w:tcPr>
          <w:p w14:paraId="79308736" w14:textId="67401F95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55C00D64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Agreed procurement </w:t>
            </w:r>
            <w:r w:rsidRPr="000C3C46">
              <w:rPr>
                <w:rFonts w:ascii="Calibri" w:hAnsi="Calibri" w:cs="Arial"/>
                <w:b/>
                <w:sz w:val="22"/>
                <w:szCs w:val="22"/>
              </w:rPr>
              <w:t>timetable</w:t>
            </w:r>
            <w:r w:rsidRPr="000C3C46">
              <w:rPr>
                <w:rFonts w:ascii="Calibri" w:hAnsi="Calibri" w:cs="Arial"/>
                <w:sz w:val="22"/>
                <w:szCs w:val="22"/>
              </w:rPr>
              <w:t>, including availability of evaluators</w:t>
            </w:r>
            <w:r>
              <w:rPr>
                <w:rFonts w:ascii="Calibri" w:hAnsi="Calibri" w:cs="Arial"/>
                <w:sz w:val="22"/>
                <w:szCs w:val="22"/>
              </w:rPr>
              <w:t>, internal approval dates, presentation/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demos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337DCC">
              <w:rPr>
                <w:rFonts w:ascii="Calibri" w:hAnsi="Calibri" w:cs="Arial"/>
                <w:sz w:val="22"/>
                <w:szCs w:val="22"/>
              </w:rPr>
              <w:t xml:space="preserve">any </w:t>
            </w:r>
            <w:r>
              <w:rPr>
                <w:rFonts w:ascii="Calibri" w:hAnsi="Calibri" w:cs="Arial"/>
                <w:sz w:val="22"/>
                <w:szCs w:val="22"/>
              </w:rPr>
              <w:t>acceptance testing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43CE8906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656B80E5" w14:textId="77777777" w:rsidR="00B13B23" w:rsidRPr="00337DCC" w:rsidRDefault="00337DCC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37DCC">
              <w:rPr>
                <w:rFonts w:ascii="Calibri" w:hAnsi="Calibri" w:cs="Arial"/>
                <w:color w:val="808080" w:themeColor="background1" w:themeShade="80"/>
                <w:sz w:val="22"/>
                <w:szCs w:val="22"/>
              </w:rPr>
              <w:t>Added as an appendix?</w:t>
            </w:r>
          </w:p>
        </w:tc>
      </w:tr>
      <w:tr w:rsidR="00B13B23" w:rsidRPr="000C3C46" w14:paraId="03D41701" w14:textId="77777777" w:rsidTr="00126BD4">
        <w:tc>
          <w:tcPr>
            <w:tcW w:w="562" w:type="dxa"/>
            <w:shd w:val="clear" w:color="auto" w:fill="auto"/>
          </w:tcPr>
          <w:p w14:paraId="7F0EEECF" w14:textId="3A021ED5" w:rsidR="00B13B23" w:rsidRPr="000C3C46" w:rsidRDefault="00EB31C4" w:rsidP="00B13B23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76326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7AEC818B" w14:textId="77777777" w:rsidR="00B13B23" w:rsidRPr="000C3C46" w:rsidRDefault="00B13B23" w:rsidP="00737B2C">
            <w:pPr>
              <w:spacing w:before="60" w:after="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C3C46">
              <w:rPr>
                <w:rFonts w:ascii="Calibri" w:hAnsi="Calibri" w:cs="Arial"/>
                <w:sz w:val="22"/>
                <w:szCs w:val="22"/>
              </w:rPr>
              <w:t xml:space="preserve">Alignment with any </w:t>
            </w:r>
            <w:r w:rsidRPr="00737B2C">
              <w:rPr>
                <w:rFonts w:ascii="Calibri" w:hAnsi="Calibri" w:cs="Arial"/>
                <w:b/>
                <w:sz w:val="22"/>
                <w:szCs w:val="22"/>
              </w:rPr>
              <w:t>governance</w:t>
            </w:r>
            <w:r w:rsidR="002831EB" w:rsidRPr="00737B2C">
              <w:rPr>
                <w:rFonts w:ascii="Calibri" w:hAnsi="Calibri" w:cs="Arial"/>
                <w:b/>
                <w:sz w:val="22"/>
                <w:szCs w:val="22"/>
              </w:rPr>
              <w:t>/approvals</w:t>
            </w:r>
            <w:r w:rsidR="002831EB">
              <w:rPr>
                <w:rFonts w:ascii="Calibri" w:hAnsi="Calibri" w:cs="Arial"/>
                <w:sz w:val="22"/>
                <w:szCs w:val="22"/>
              </w:rPr>
              <w:t xml:space="preserve">, beyond the </w:t>
            </w:r>
            <w:r w:rsidR="00737B2C">
              <w:rPr>
                <w:rFonts w:ascii="Calibri" w:hAnsi="Calibri" w:cs="Arial"/>
                <w:sz w:val="22"/>
                <w:szCs w:val="22"/>
              </w:rPr>
              <w:t>Contract Award Approval Form (CAAF) process</w:t>
            </w:r>
            <w:r w:rsidRPr="000C3C46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39" w:type="dxa"/>
            <w:shd w:val="clear" w:color="auto" w:fill="auto"/>
          </w:tcPr>
          <w:p w14:paraId="5E32A58F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</w:tcPr>
          <w:p w14:paraId="580646B9" w14:textId="77777777" w:rsidR="00B13B23" w:rsidRPr="000C3C46" w:rsidRDefault="00B13B23" w:rsidP="00B13B23">
            <w:pPr>
              <w:spacing w:before="60" w:after="6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A833523" w14:textId="77777777" w:rsidR="00215415" w:rsidRDefault="00215415" w:rsidP="00A97705">
      <w:pPr>
        <w:shd w:val="clear" w:color="auto" w:fill="FFFFFF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14:paraId="169A6D43" w14:textId="77777777" w:rsidR="00BA3361" w:rsidRDefault="00BA3361" w:rsidP="00A97705">
      <w:pPr>
        <w:shd w:val="clear" w:color="auto" w:fill="FFFFFF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14:paraId="3D5E6C65" w14:textId="77777777" w:rsidR="00BA3361" w:rsidRDefault="00BA3361" w:rsidP="00A97705">
      <w:pPr>
        <w:shd w:val="clear" w:color="auto" w:fill="FFFFFF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14:paraId="6A713C59" w14:textId="77777777" w:rsidR="00BA3361" w:rsidRPr="00E26EC0" w:rsidRDefault="00BA3361" w:rsidP="00A97705">
      <w:pPr>
        <w:shd w:val="clear" w:color="auto" w:fill="FFFFFF"/>
        <w:rPr>
          <w:rFonts w:asciiTheme="minorHAnsi" w:hAnsiTheme="minorHAnsi"/>
          <w:b/>
          <w:bCs/>
          <w:color w:val="808080" w:themeColor="background1" w:themeShade="80"/>
          <w:lang w:eastAsia="en-GB"/>
        </w:rPr>
      </w:pPr>
      <w:r w:rsidRPr="00E26EC0">
        <w:rPr>
          <w:rFonts w:asciiTheme="minorHAnsi" w:hAnsiTheme="minorHAnsi"/>
          <w:b/>
          <w:bCs/>
          <w:color w:val="808080" w:themeColor="background1" w:themeShade="80"/>
          <w:lang w:eastAsia="en-GB"/>
        </w:rPr>
        <w:t>Appendix: Procurement timetable</w:t>
      </w:r>
    </w:p>
    <w:p w14:paraId="1525247C" w14:textId="77777777" w:rsidR="00BA3361" w:rsidRPr="00E26EC0" w:rsidRDefault="00BA3361" w:rsidP="00A97705">
      <w:pPr>
        <w:shd w:val="clear" w:color="auto" w:fill="FFFFFF"/>
        <w:rPr>
          <w:rFonts w:asciiTheme="minorHAnsi" w:hAnsiTheme="minorHAnsi"/>
          <w:b/>
          <w:bCs/>
          <w:color w:val="808080" w:themeColor="background1" w:themeShade="80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229"/>
        <w:gridCol w:w="2032"/>
      </w:tblGrid>
      <w:tr w:rsidR="00033CFD" w:rsidRPr="00BA3361" w14:paraId="6E807F49" w14:textId="77777777" w:rsidTr="00033CFD">
        <w:trPr>
          <w:tblHeader/>
        </w:trPr>
        <w:tc>
          <w:tcPr>
            <w:tcW w:w="4531" w:type="dxa"/>
            <w:shd w:val="clear" w:color="auto" w:fill="FFFFFF" w:themeFill="background1"/>
            <w:vAlign w:val="center"/>
          </w:tcPr>
          <w:p w14:paraId="4CF57014" w14:textId="77777777" w:rsidR="00BA3361" w:rsidRPr="00BA3361" w:rsidRDefault="00BA3361" w:rsidP="00033CFD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BA3361">
              <w:rPr>
                <w:rFonts w:ascii="Calibri" w:hAnsi="Calibri" w:cs="Arial"/>
                <w:b/>
                <w:color w:val="808080" w:themeColor="background1" w:themeShade="80"/>
                <w:sz w:val="22"/>
                <w:szCs w:val="22"/>
                <w:lang w:eastAsia="en-GB"/>
              </w:rPr>
              <w:t>Activity/Stage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ED99098" w14:textId="77777777" w:rsidR="00BA3361" w:rsidRPr="00BA3361" w:rsidRDefault="00BA3361" w:rsidP="00BA336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BA3361">
              <w:rPr>
                <w:rFonts w:ascii="Calibri" w:hAnsi="Calibri" w:cs="Arial"/>
                <w:b/>
                <w:color w:val="808080" w:themeColor="background1" w:themeShade="80"/>
                <w:sz w:val="22"/>
                <w:szCs w:val="22"/>
                <w:lang w:eastAsia="en-GB"/>
              </w:rPr>
              <w:t>Deadline / Period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7B8D158B" w14:textId="77777777" w:rsidR="00BA3361" w:rsidRPr="00BA3361" w:rsidRDefault="00BA3361" w:rsidP="00BA336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BA3361">
              <w:rPr>
                <w:rFonts w:ascii="Calibri" w:hAnsi="Calibri" w:cs="Arial"/>
                <w:b/>
                <w:color w:val="808080" w:themeColor="background1" w:themeShade="80"/>
                <w:sz w:val="22"/>
                <w:szCs w:val="22"/>
                <w:lang w:eastAsia="en-GB"/>
              </w:rPr>
              <w:t>Responsible Person</w:t>
            </w:r>
          </w:p>
        </w:tc>
      </w:tr>
      <w:tr w:rsidR="00BA3361" w:rsidRPr="00BA3361" w14:paraId="206DD429" w14:textId="77777777" w:rsidTr="00033CFD">
        <w:trPr>
          <w:trHeight w:val="70"/>
        </w:trPr>
        <w:tc>
          <w:tcPr>
            <w:tcW w:w="4531" w:type="dxa"/>
            <w:shd w:val="clear" w:color="auto" w:fill="auto"/>
            <w:vAlign w:val="center"/>
          </w:tcPr>
          <w:p w14:paraId="52A01538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</w:pP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PIN published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25AEF5E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59DC3D0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5CF62559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3070FB51" w14:textId="77777777" w:rsidR="00BA3361" w:rsidRPr="00BA3361" w:rsidRDefault="00033CFD" w:rsidP="00033CFD">
            <w:pPr>
              <w:spacing w:before="60" w:after="60" w:line="276" w:lineRule="auto"/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</w:pP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Supplier e</w:t>
            </w:r>
            <w:r w:rsidR="00BA3361"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 xml:space="preserve">ngagement </w:t>
            </w: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d</w:t>
            </w:r>
            <w:r w:rsidR="00BA3361"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ay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96624C5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E9D8B4E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333F3A2E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6A03A464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Specification drafted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8C68119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2535DB8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689B05B5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1BA7C47D" w14:textId="77777777" w:rsidR="00BA3361" w:rsidRPr="00BA3361" w:rsidRDefault="00033CFD" w:rsidP="00033CFD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Terms and conditions</w:t>
            </w:r>
            <w:r w:rsidR="00BA3361" w:rsidRPr="00BA3361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808080"/>
                <w:sz w:val="22"/>
                <w:szCs w:val="22"/>
              </w:rPr>
              <w:t>established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29B7B8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179CC2E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12005B8F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1E36DA7B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SQ</w:t>
            </w: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 xml:space="preserve"> drafted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9685F79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4238709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09EEE793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32C53705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ITT drafted/assembled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2DC8BE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1EF71D5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56F23A94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2D36BB29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D9D9D9" w:themeColor="background1" w:themeShade="D9"/>
                <w:spacing w:val="-2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 w:themeColor="background1" w:themeShade="80"/>
                <w:sz w:val="22"/>
                <w:szCs w:val="22"/>
              </w:rPr>
              <w:t xml:space="preserve">Find a Tender Notice, </w:t>
            </w: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S</w:t>
            </w: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Q,</w:t>
            </w:r>
            <w:r w:rsidRPr="00BA3361">
              <w:rPr>
                <w:rFonts w:ascii="Calibri" w:hAnsi="Calibri" w:cs="Arial"/>
                <w:color w:val="808080" w:themeColor="background1" w:themeShade="80"/>
                <w:sz w:val="22"/>
                <w:szCs w:val="22"/>
              </w:rPr>
              <w:t xml:space="preserve"> ITT published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7B6D5AF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2C30607C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2B800E07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25BE2F30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</w:pP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S</w:t>
            </w: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Q return date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C24FBBD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1DA3717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6D02A268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6AA6DD8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</w:pP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S</w:t>
            </w: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Q evaluation/shortlisting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8CD990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C831D2A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2DBA1654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191D5AEE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</w:pP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 xml:space="preserve">Unsuccessful </w:t>
            </w: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S</w:t>
            </w: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Q &amp; ITT letters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6362CB6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75E0A3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6ADDD1FE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56F75926" w14:textId="77777777" w:rsidR="00BA3361" w:rsidRPr="00BA3361" w:rsidRDefault="00033CFD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Bidders</w:t>
            </w:r>
            <w:proofErr w:type="gramEnd"/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 xml:space="preserve"> c</w:t>
            </w:r>
            <w:r w:rsidR="00BA3361"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onference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A23EF54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FA1524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0F08E0BB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5ACDEEA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pacing w:val="-2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lastRenderedPageBreak/>
              <w:t>Tender returns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948DCAD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B469D2E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154FF013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62A21284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Tender evaluation</w:t>
            </w:r>
            <w:r w:rsidR="00033CFD" w:rsidRPr="00033CFD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/shortlisting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EAD2EB6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4E5F760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09925C77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36B9C658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Tender interviews/presentations/demos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FFAF5B7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29B1157E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60F36722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4EF204F7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Contract award decision</w:t>
            </w:r>
            <w:r w:rsidR="007E64DB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and CAAF approvals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B5595D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9321244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76198F6F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74C87889" w14:textId="77777777" w:rsidR="00BA3361" w:rsidRPr="00BA3361" w:rsidRDefault="00033CFD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033CFD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Acceptance and/or User t</w:t>
            </w:r>
            <w:r w:rsidR="00BA3361"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esting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9C52345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2AE6DF84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7E8C6CCD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4DA09646" w14:textId="77777777" w:rsidR="00BA3361" w:rsidRPr="00BA3361" w:rsidRDefault="00033CFD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Intention to a</w:t>
            </w:r>
            <w:r w:rsidR="00BA3361" w:rsidRPr="00BA3361">
              <w:rPr>
                <w:rFonts w:ascii="Calibri" w:hAnsi="Calibri" w:cs="Arial"/>
                <w:color w:val="808080"/>
                <w:sz w:val="22"/>
                <w:szCs w:val="22"/>
              </w:rPr>
              <w:t xml:space="preserve">ward letters issued </w:t>
            </w:r>
          </w:p>
          <w:p w14:paraId="24B1EC80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808080"/>
                <w:spacing w:val="-2"/>
                <w:sz w:val="22"/>
                <w:szCs w:val="22"/>
              </w:rPr>
            </w:pP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(Noting that subject to successful testing)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8CAA1A5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0A82B27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46B44765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6C36FB91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pacing w:val="-2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Standstill period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5DD6B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F024F97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72FA4E70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0D23CB21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Contract award</w:t>
            </w:r>
          </w:p>
          <w:p w14:paraId="313477DF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i/>
                <w:color w:val="808080"/>
                <w:spacing w:val="-2"/>
                <w:sz w:val="22"/>
                <w:szCs w:val="22"/>
              </w:rPr>
            </w:pPr>
            <w:r w:rsidRPr="00BA3361">
              <w:rPr>
                <w:rFonts w:ascii="Calibri" w:hAnsi="Calibri" w:cs="Arial"/>
                <w:i/>
                <w:color w:val="BFBFBF" w:themeColor="background1" w:themeShade="BF"/>
                <w:sz w:val="22"/>
                <w:szCs w:val="22"/>
              </w:rPr>
              <w:t>(Noting that subject to successful testing)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4E77968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F296AFC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3B2BD158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07A01980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Find a Tender</w:t>
            </w:r>
            <w:r w:rsidR="00033CFD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contract award n</w:t>
            </w: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otice published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3FEEBE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5AC39A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38472FCD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1B0B007A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Implementation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01E0431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A93844B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  <w:tr w:rsidR="00BA3361" w:rsidRPr="00BA3361" w14:paraId="55667077" w14:textId="77777777" w:rsidTr="00033CFD">
        <w:trPr>
          <w:trHeight w:val="227"/>
        </w:trPr>
        <w:tc>
          <w:tcPr>
            <w:tcW w:w="4531" w:type="dxa"/>
            <w:shd w:val="clear" w:color="auto" w:fill="auto"/>
            <w:vAlign w:val="center"/>
          </w:tcPr>
          <w:p w14:paraId="1E019D4C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pacing w:val="-2"/>
                <w:sz w:val="22"/>
                <w:szCs w:val="22"/>
              </w:rPr>
            </w:pPr>
            <w:r w:rsidRPr="00BA3361">
              <w:rPr>
                <w:rFonts w:ascii="Calibri" w:hAnsi="Calibri" w:cs="Arial"/>
                <w:color w:val="808080"/>
                <w:sz w:val="22"/>
                <w:szCs w:val="22"/>
              </w:rPr>
              <w:t>Contract commencement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EFC2D93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B6D2662" w14:textId="77777777" w:rsidR="00BA3361" w:rsidRPr="00BA3361" w:rsidRDefault="00BA3361" w:rsidP="00BA3361">
            <w:pPr>
              <w:spacing w:before="60" w:after="60" w:line="276" w:lineRule="auto"/>
              <w:rPr>
                <w:rFonts w:ascii="Calibri" w:hAnsi="Calibri" w:cs="Arial"/>
                <w:color w:val="808080"/>
                <w:sz w:val="22"/>
                <w:szCs w:val="22"/>
                <w:lang w:eastAsia="en-GB"/>
              </w:rPr>
            </w:pPr>
          </w:p>
        </w:tc>
      </w:tr>
    </w:tbl>
    <w:p w14:paraId="55F5709A" w14:textId="77777777" w:rsidR="00BA3361" w:rsidRPr="00BA3361" w:rsidRDefault="00BA3361" w:rsidP="00A97705">
      <w:pPr>
        <w:shd w:val="clear" w:color="auto" w:fill="FFFFFF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sectPr w:rsidR="00BA3361" w:rsidRPr="00BA3361" w:rsidSect="00B13B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01C9" w14:textId="77777777" w:rsidR="00936177" w:rsidRDefault="00936177">
      <w:r>
        <w:separator/>
      </w:r>
    </w:p>
  </w:endnote>
  <w:endnote w:type="continuationSeparator" w:id="0">
    <w:p w14:paraId="0BE96B3B" w14:textId="77777777" w:rsidR="00936177" w:rsidRDefault="009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7666" w14:textId="77777777" w:rsidR="00936177" w:rsidRDefault="00936177">
      <w:r>
        <w:separator/>
      </w:r>
    </w:p>
  </w:footnote>
  <w:footnote w:type="continuationSeparator" w:id="0">
    <w:p w14:paraId="010B58DB" w14:textId="77777777" w:rsidR="00936177" w:rsidRDefault="0093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C06"/>
    <w:multiLevelType w:val="hybridMultilevel"/>
    <w:tmpl w:val="213C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16B"/>
    <w:multiLevelType w:val="hybridMultilevel"/>
    <w:tmpl w:val="14926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4580F"/>
    <w:multiLevelType w:val="hybridMultilevel"/>
    <w:tmpl w:val="BF20A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B4A54"/>
    <w:multiLevelType w:val="multilevel"/>
    <w:tmpl w:val="636A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505C08"/>
    <w:multiLevelType w:val="multilevel"/>
    <w:tmpl w:val="E2B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8B13B1"/>
    <w:multiLevelType w:val="hybridMultilevel"/>
    <w:tmpl w:val="299C9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1F79"/>
    <w:multiLevelType w:val="hybridMultilevel"/>
    <w:tmpl w:val="24D21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6"/>
    <w:rsid w:val="00033CFD"/>
    <w:rsid w:val="000372D5"/>
    <w:rsid w:val="000564D6"/>
    <w:rsid w:val="00093DDD"/>
    <w:rsid w:val="000C0A18"/>
    <w:rsid w:val="000C3C46"/>
    <w:rsid w:val="000E0724"/>
    <w:rsid w:val="00115D52"/>
    <w:rsid w:val="00126BD4"/>
    <w:rsid w:val="001367D5"/>
    <w:rsid w:val="001501B4"/>
    <w:rsid w:val="00161962"/>
    <w:rsid w:val="0018029B"/>
    <w:rsid w:val="001A19D0"/>
    <w:rsid w:val="001C4662"/>
    <w:rsid w:val="00206854"/>
    <w:rsid w:val="002150F8"/>
    <w:rsid w:val="00215415"/>
    <w:rsid w:val="00223952"/>
    <w:rsid w:val="002363D9"/>
    <w:rsid w:val="00236F78"/>
    <w:rsid w:val="002526A5"/>
    <w:rsid w:val="00252DE9"/>
    <w:rsid w:val="002746B6"/>
    <w:rsid w:val="002831EB"/>
    <w:rsid w:val="00283AB5"/>
    <w:rsid w:val="002A5127"/>
    <w:rsid w:val="002A5565"/>
    <w:rsid w:val="002B7F12"/>
    <w:rsid w:val="002C0315"/>
    <w:rsid w:val="002D2E00"/>
    <w:rsid w:val="002D7E41"/>
    <w:rsid w:val="00311230"/>
    <w:rsid w:val="00313133"/>
    <w:rsid w:val="00337DCC"/>
    <w:rsid w:val="00376326"/>
    <w:rsid w:val="00382AC5"/>
    <w:rsid w:val="0039009F"/>
    <w:rsid w:val="003934F4"/>
    <w:rsid w:val="0039687F"/>
    <w:rsid w:val="003A33AD"/>
    <w:rsid w:val="003C1A07"/>
    <w:rsid w:val="003E0BE3"/>
    <w:rsid w:val="003E1746"/>
    <w:rsid w:val="003E4780"/>
    <w:rsid w:val="00401623"/>
    <w:rsid w:val="00420213"/>
    <w:rsid w:val="004274A3"/>
    <w:rsid w:val="00433E5F"/>
    <w:rsid w:val="004413E1"/>
    <w:rsid w:val="00484E4E"/>
    <w:rsid w:val="00490575"/>
    <w:rsid w:val="0049421D"/>
    <w:rsid w:val="00496CCF"/>
    <w:rsid w:val="004A26F7"/>
    <w:rsid w:val="004D231F"/>
    <w:rsid w:val="004F4957"/>
    <w:rsid w:val="00523AC4"/>
    <w:rsid w:val="005417E8"/>
    <w:rsid w:val="0057561F"/>
    <w:rsid w:val="005A2E49"/>
    <w:rsid w:val="005A3D32"/>
    <w:rsid w:val="005A4AB5"/>
    <w:rsid w:val="005C380D"/>
    <w:rsid w:val="0062739B"/>
    <w:rsid w:val="00642329"/>
    <w:rsid w:val="00666F69"/>
    <w:rsid w:val="00672132"/>
    <w:rsid w:val="0068205F"/>
    <w:rsid w:val="00685985"/>
    <w:rsid w:val="006D63A2"/>
    <w:rsid w:val="006E21CC"/>
    <w:rsid w:val="006E4B5A"/>
    <w:rsid w:val="006E74D2"/>
    <w:rsid w:val="006F281F"/>
    <w:rsid w:val="006F4FAF"/>
    <w:rsid w:val="00732925"/>
    <w:rsid w:val="00737B2C"/>
    <w:rsid w:val="00774BDB"/>
    <w:rsid w:val="0078493F"/>
    <w:rsid w:val="007950AF"/>
    <w:rsid w:val="007B08CD"/>
    <w:rsid w:val="007C4A27"/>
    <w:rsid w:val="007C6DCB"/>
    <w:rsid w:val="007E64DB"/>
    <w:rsid w:val="007F35FB"/>
    <w:rsid w:val="00821EBC"/>
    <w:rsid w:val="00862D0B"/>
    <w:rsid w:val="008656D7"/>
    <w:rsid w:val="00877E3A"/>
    <w:rsid w:val="008834AE"/>
    <w:rsid w:val="008B284F"/>
    <w:rsid w:val="008E6059"/>
    <w:rsid w:val="009010ED"/>
    <w:rsid w:val="0091282C"/>
    <w:rsid w:val="00936177"/>
    <w:rsid w:val="00964C3C"/>
    <w:rsid w:val="009714CB"/>
    <w:rsid w:val="009773B2"/>
    <w:rsid w:val="00985F7D"/>
    <w:rsid w:val="00987B8C"/>
    <w:rsid w:val="009F717D"/>
    <w:rsid w:val="00A027B7"/>
    <w:rsid w:val="00A04B00"/>
    <w:rsid w:val="00A22670"/>
    <w:rsid w:val="00A23362"/>
    <w:rsid w:val="00A31A40"/>
    <w:rsid w:val="00A4496C"/>
    <w:rsid w:val="00A450A6"/>
    <w:rsid w:val="00A6248D"/>
    <w:rsid w:val="00A6530E"/>
    <w:rsid w:val="00A845FB"/>
    <w:rsid w:val="00A958A0"/>
    <w:rsid w:val="00A97705"/>
    <w:rsid w:val="00AA5236"/>
    <w:rsid w:val="00AB0388"/>
    <w:rsid w:val="00AB7DC1"/>
    <w:rsid w:val="00AF342B"/>
    <w:rsid w:val="00AF6D54"/>
    <w:rsid w:val="00B045B6"/>
    <w:rsid w:val="00B13B23"/>
    <w:rsid w:val="00B43C86"/>
    <w:rsid w:val="00B564F9"/>
    <w:rsid w:val="00BA3361"/>
    <w:rsid w:val="00BC4519"/>
    <w:rsid w:val="00BE281E"/>
    <w:rsid w:val="00BF7EB8"/>
    <w:rsid w:val="00C004F7"/>
    <w:rsid w:val="00C20EE9"/>
    <w:rsid w:val="00C321CF"/>
    <w:rsid w:val="00C35EE3"/>
    <w:rsid w:val="00C665D9"/>
    <w:rsid w:val="00C83737"/>
    <w:rsid w:val="00C85C08"/>
    <w:rsid w:val="00C861B5"/>
    <w:rsid w:val="00C94F75"/>
    <w:rsid w:val="00CA3236"/>
    <w:rsid w:val="00CA3375"/>
    <w:rsid w:val="00CA5CBC"/>
    <w:rsid w:val="00CB1762"/>
    <w:rsid w:val="00CD40B4"/>
    <w:rsid w:val="00D15C9F"/>
    <w:rsid w:val="00D46331"/>
    <w:rsid w:val="00D53B52"/>
    <w:rsid w:val="00D64D5C"/>
    <w:rsid w:val="00D747CA"/>
    <w:rsid w:val="00D8345C"/>
    <w:rsid w:val="00D934FD"/>
    <w:rsid w:val="00DA4EFF"/>
    <w:rsid w:val="00DC59AC"/>
    <w:rsid w:val="00DD01B1"/>
    <w:rsid w:val="00DF02CF"/>
    <w:rsid w:val="00DF3C6A"/>
    <w:rsid w:val="00E247EC"/>
    <w:rsid w:val="00E26EC0"/>
    <w:rsid w:val="00E56420"/>
    <w:rsid w:val="00E670A3"/>
    <w:rsid w:val="00E7591F"/>
    <w:rsid w:val="00E77AA1"/>
    <w:rsid w:val="00EA435F"/>
    <w:rsid w:val="00EB31C4"/>
    <w:rsid w:val="00EC369D"/>
    <w:rsid w:val="00EC39BC"/>
    <w:rsid w:val="00EC7B95"/>
    <w:rsid w:val="00EF6B5D"/>
    <w:rsid w:val="00F26D05"/>
    <w:rsid w:val="00F539E6"/>
    <w:rsid w:val="00F629D7"/>
    <w:rsid w:val="00F649D1"/>
    <w:rsid w:val="00F7665E"/>
    <w:rsid w:val="00F8433A"/>
    <w:rsid w:val="00F868CE"/>
    <w:rsid w:val="00F90FEA"/>
    <w:rsid w:val="00F93742"/>
    <w:rsid w:val="00FA25DE"/>
    <w:rsid w:val="00FC6E81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00D82"/>
  <w15:docId w15:val="{03D3F840-BAB5-4A6B-9EEF-A743CFA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6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ader Table Grid"/>
    <w:basedOn w:val="TableNormal"/>
    <w:rsid w:val="0027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3E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3E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E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05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5EE3"/>
    <w:pPr>
      <w:ind w:left="720"/>
      <w:contextualSpacing/>
    </w:pPr>
  </w:style>
  <w:style w:type="character" w:styleId="Hyperlink">
    <w:name w:val="Hyperlink"/>
    <w:basedOn w:val="DefaultParagraphFont"/>
    <w:unhideWhenUsed/>
    <w:rsid w:val="00A9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uniofleicester.sharepoint.com/sites/staff/finance/procurement/SitePages/TUPE%20procurement%20guidance.aspx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ofleicester.sharepoint.com/sites/staff/information-assurance-services/SitePages/Requesting-a.aspx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rds.management@le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ofleicester.sharepoint.com/sites/staff/finance/procurement/SitePages/A%20guide%20to%20supplier%20indemnity%20and%20insurance%20cov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ofleicester.sharepoint.com/sites/staff/finance/procurement/SitePages/Financial%20vetting%20of%20supplier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ABA0C28B464DBE50C9517A8BCEDF" ma:contentTypeVersion="7" ma:contentTypeDescription="Create a new document." ma:contentTypeScope="" ma:versionID="a252bc4f251af96c99ef16fd6df9ff45">
  <xsd:schema xmlns:xsd="http://www.w3.org/2001/XMLSchema" xmlns:xs="http://www.w3.org/2001/XMLSchema" xmlns:p="http://schemas.microsoft.com/office/2006/metadata/properties" xmlns:ns2="a5961bb6-c3d3-4712-b170-25e230046315" xmlns:ns3="bc676a68-b861-44d5-a39a-94602e5ec2b2" targetNamespace="http://schemas.microsoft.com/office/2006/metadata/properties" ma:root="true" ma:fieldsID="d5455f9e139d50382314afb465020204" ns2:_="" ns3:_="">
    <xsd:import namespace="a5961bb6-c3d3-4712-b170-25e230046315"/>
    <xsd:import namespace="bc676a68-b861-44d5-a39a-94602e5e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1bb6-c3d3-4712-b170-25e230046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6a68-b861-44d5-a39a-94602e5e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86B19-1B22-410B-BE18-BB97034A3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9469B-5FE3-4AFA-B291-9E0BA07A0454}"/>
</file>

<file path=customXml/itemProps3.xml><?xml version="1.0" encoding="utf-8"?>
<ds:datastoreItem xmlns:ds="http://schemas.openxmlformats.org/officeDocument/2006/customXml" ds:itemID="{09013EC1-6307-4F8D-AED4-04CAFC1B3BFD}"/>
</file>

<file path=customXml/itemProps4.xml><?xml version="1.0" encoding="utf-8"?>
<ds:datastoreItem xmlns:ds="http://schemas.openxmlformats.org/officeDocument/2006/customXml" ds:itemID="{D8850CB9-0CB7-41BC-9E55-C7F2FF585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1020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3001881</dc:creator>
  <cp:lastModifiedBy>Trotter, James</cp:lastModifiedBy>
  <cp:revision>3</cp:revision>
  <cp:lastPrinted>2014-06-09T14:30:00Z</cp:lastPrinted>
  <dcterms:created xsi:type="dcterms:W3CDTF">2023-06-13T08:06:00Z</dcterms:created>
  <dcterms:modified xsi:type="dcterms:W3CDTF">2023-06-13T08:09:00Z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0x0101004AD0ABA0C28B464DBE50C9517A8BCEDF</vt:lpwstr>
  </property>
</Properties>
</file>