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780"/>
        <w:gridCol w:w="6184"/>
      </w:tblGrid>
      <w:tr w:rsidR="00BE020D" w14:paraId="39483B26" w14:textId="77777777" w:rsidTr="00B347EF">
        <w:tc>
          <w:tcPr>
            <w:tcW w:w="3780" w:type="dxa"/>
          </w:tcPr>
          <w:p w14:paraId="509CDDFB" w14:textId="77777777" w:rsidR="00BE020D" w:rsidRDefault="00CE35BF" w:rsidP="00B347EF">
            <w:pPr>
              <w:spacing w:before="80"/>
            </w:pPr>
            <w:r w:rsidRPr="003E0A28">
              <w:rPr>
                <w:noProof/>
                <w:lang w:eastAsia="en-GB"/>
              </w:rPr>
              <w:drawing>
                <wp:inline distT="0" distB="0" distL="0" distR="0" wp14:anchorId="19DFD24A" wp14:editId="3A93213F">
                  <wp:extent cx="1695450" cy="447675"/>
                  <wp:effectExtent l="0" t="0" r="0" b="9525"/>
                  <wp:docPr id="2" name="Picture 2" descr="https://le.ac.uk/~/media/uol/images/guidelines/logo/logo-no-bar-178.png?h=47&amp;w=178&amp;la=en&amp;hash=27585E3A3CF9D7929D785ADDF0A5531C72DE2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c.uk/~/media/uol/images/guidelines/logo/logo-no-bar-178.png?h=47&amp;w=178&amp;la=en&amp;hash=27585E3A3CF9D7929D785ADDF0A5531C72DE2F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47675"/>
                          </a:xfrm>
                          <a:prstGeom prst="rect">
                            <a:avLst/>
                          </a:prstGeom>
                          <a:noFill/>
                          <a:ln>
                            <a:noFill/>
                          </a:ln>
                        </pic:spPr>
                      </pic:pic>
                    </a:graphicData>
                  </a:graphic>
                </wp:inline>
              </w:drawing>
            </w:r>
          </w:p>
        </w:tc>
        <w:tc>
          <w:tcPr>
            <w:tcW w:w="6184" w:type="dxa"/>
          </w:tcPr>
          <w:p w14:paraId="2CFCCBA3" w14:textId="562184E4" w:rsidR="00BE020D" w:rsidRDefault="002B0DF2" w:rsidP="00B347EF">
            <w:pPr>
              <w:tabs>
                <w:tab w:val="right" w:pos="6120"/>
                <w:tab w:val="right" w:pos="7371"/>
              </w:tabs>
              <w:rPr>
                <w:b/>
              </w:rPr>
            </w:pPr>
            <w:r>
              <w:rPr>
                <w:i/>
              </w:rPr>
              <w:t>Information Assurance Services</w:t>
            </w:r>
            <w:r w:rsidR="00BE020D">
              <w:rPr>
                <w:i/>
              </w:rPr>
              <w:t xml:space="preserve"> Policy Documentation</w:t>
            </w:r>
            <w:r w:rsidR="00BE020D">
              <w:tab/>
            </w:r>
          </w:p>
          <w:p w14:paraId="791D03CE" w14:textId="77777777" w:rsidR="00BE020D" w:rsidRDefault="00BE020D" w:rsidP="00B347EF">
            <w:pPr>
              <w:tabs>
                <w:tab w:val="right" w:pos="6120"/>
                <w:tab w:val="right" w:pos="7371"/>
              </w:tabs>
              <w:rPr>
                <w:b/>
              </w:rPr>
            </w:pPr>
          </w:p>
          <w:p w14:paraId="6927DCA3" w14:textId="77777777" w:rsidR="00BE020D" w:rsidRDefault="00021B4A" w:rsidP="00B347EF">
            <w:pPr>
              <w:shd w:val="solid" w:color="auto" w:fill="auto"/>
              <w:tabs>
                <w:tab w:val="right" w:pos="6120"/>
              </w:tabs>
              <w:jc w:val="center"/>
            </w:pPr>
            <w:r>
              <w:rPr>
                <w:rFonts w:ascii="Georgia" w:hAnsi="Georgia"/>
                <w:b/>
                <w:smallCaps/>
                <w:sz w:val="32"/>
              </w:rPr>
              <w:t>Strategic Policy</w:t>
            </w:r>
          </w:p>
        </w:tc>
      </w:tr>
    </w:tbl>
    <w:p w14:paraId="2311E3CB" w14:textId="77777777" w:rsidR="00BE020D" w:rsidRDefault="00BE020D" w:rsidP="00BE020D">
      <w:pPr>
        <w:pBdr>
          <w:bottom w:val="single" w:sz="12" w:space="1" w:color="auto"/>
        </w:pBdr>
        <w:rPr>
          <w:rFonts w:ascii="Arial" w:hAnsi="Arial" w:cs="Arial"/>
          <w:b/>
        </w:rPr>
      </w:pPr>
    </w:p>
    <w:p w14:paraId="005CA510" w14:textId="77777777" w:rsidR="00BE020D" w:rsidRDefault="00BE020D" w:rsidP="00BE020D">
      <w:pPr>
        <w:rPr>
          <w:rFonts w:ascii="Arial" w:hAnsi="Arial" w:cs="Arial"/>
          <w:b/>
        </w:rPr>
      </w:pPr>
      <w:r>
        <w:rPr>
          <w:rFonts w:ascii="Arial" w:hAnsi="Arial" w:cs="Arial"/>
          <w:b/>
        </w:rPr>
        <w:t>Policy:</w:t>
      </w:r>
      <w:r>
        <w:rPr>
          <w:rFonts w:ascii="Arial" w:hAnsi="Arial" w:cs="Arial"/>
          <w:b/>
        </w:rPr>
        <w:tab/>
      </w:r>
      <w:r w:rsidR="00F80340">
        <w:rPr>
          <w:rFonts w:ascii="Arial" w:hAnsi="Arial" w:cs="Arial"/>
          <w:b/>
        </w:rPr>
        <w:t>FOI</w:t>
      </w:r>
      <w:r>
        <w:rPr>
          <w:rFonts w:ascii="Arial" w:hAnsi="Arial" w:cs="Arial"/>
          <w:b/>
        </w:rPr>
        <w:t>-S</w:t>
      </w:r>
      <w:r w:rsidR="004E7A6C">
        <w:rPr>
          <w:rFonts w:ascii="Arial" w:hAnsi="Arial" w:cs="Arial"/>
          <w:b/>
        </w:rPr>
        <w:t>1</w:t>
      </w:r>
    </w:p>
    <w:p w14:paraId="7D3500C5" w14:textId="77777777" w:rsidR="00BE020D" w:rsidRDefault="00BE020D" w:rsidP="00BE020D">
      <w:pPr>
        <w:rPr>
          <w:rFonts w:ascii="Arial" w:hAnsi="Arial" w:cs="Arial"/>
          <w:b/>
        </w:rPr>
      </w:pPr>
      <w:r>
        <w:rPr>
          <w:rFonts w:ascii="Arial" w:hAnsi="Arial" w:cs="Arial"/>
          <w:b/>
        </w:rPr>
        <w:t>Title:</w:t>
      </w:r>
      <w:r>
        <w:rPr>
          <w:rFonts w:ascii="Arial" w:hAnsi="Arial" w:cs="Arial"/>
          <w:b/>
        </w:rPr>
        <w:tab/>
      </w:r>
      <w:r>
        <w:rPr>
          <w:rFonts w:ascii="Arial" w:hAnsi="Arial" w:cs="Arial"/>
          <w:b/>
        </w:rPr>
        <w:tab/>
      </w:r>
      <w:r w:rsidR="00F80340">
        <w:rPr>
          <w:rFonts w:ascii="Arial" w:hAnsi="Arial" w:cs="Arial"/>
          <w:b/>
        </w:rPr>
        <w:t>Freedom of Information</w:t>
      </w:r>
      <w:r w:rsidR="004E7A6C">
        <w:rPr>
          <w:rFonts w:ascii="Arial" w:hAnsi="Arial" w:cs="Arial"/>
          <w:b/>
        </w:rPr>
        <w:t xml:space="preserve"> Policy</w:t>
      </w:r>
    </w:p>
    <w:p w14:paraId="756B7AFA" w14:textId="77777777" w:rsidR="00BE020D" w:rsidRPr="0072056C" w:rsidRDefault="00BE020D" w:rsidP="00BE020D">
      <w:pPr>
        <w:pBdr>
          <w:bottom w:val="single" w:sz="12" w:space="1" w:color="auto"/>
        </w:pBdr>
        <w:rPr>
          <w:rFonts w:ascii="Arial" w:hAnsi="Arial" w:cs="Arial"/>
          <w:b/>
        </w:rPr>
      </w:pPr>
      <w:r w:rsidRPr="0072056C">
        <w:rPr>
          <w:rFonts w:ascii="Arial" w:hAnsi="Arial" w:cs="Arial"/>
          <w:b/>
        </w:rPr>
        <w:t>Status:</w:t>
      </w:r>
      <w:r w:rsidRPr="0072056C">
        <w:rPr>
          <w:rFonts w:ascii="Arial" w:hAnsi="Arial" w:cs="Arial"/>
          <w:b/>
        </w:rPr>
        <w:tab/>
      </w:r>
      <w:r w:rsidR="000A6361">
        <w:rPr>
          <w:rFonts w:ascii="Arial" w:hAnsi="Arial" w:cs="Arial"/>
          <w:b/>
        </w:rPr>
        <w:t>Approved</w:t>
      </w:r>
    </w:p>
    <w:p w14:paraId="3759C953" w14:textId="77777777" w:rsidR="003C02B0" w:rsidRPr="00DC4F0B" w:rsidRDefault="003C02B0" w:rsidP="000B1B39">
      <w:pPr>
        <w:pStyle w:val="L1A"/>
        <w:spacing w:before="240"/>
        <w:rPr>
          <w:rFonts w:cs="Arial"/>
        </w:rPr>
      </w:pPr>
      <w:r w:rsidRPr="00DC4F0B">
        <w:rPr>
          <w:rFonts w:cs="Arial"/>
        </w:rPr>
        <w:t>Introduction</w:t>
      </w:r>
    </w:p>
    <w:p w14:paraId="0A8D3C6A" w14:textId="77777777" w:rsidR="00F80340" w:rsidRDefault="00F80340" w:rsidP="002B0DF2">
      <w:pPr>
        <w:pStyle w:val="L2A"/>
        <w:numPr>
          <w:ilvl w:val="0"/>
          <w:numId w:val="0"/>
        </w:numPr>
        <w:ind w:left="567"/>
        <w:rPr>
          <w:rFonts w:cs="Arial"/>
        </w:rPr>
      </w:pPr>
      <w:r w:rsidRPr="00DC4F0B">
        <w:rPr>
          <w:rFonts w:cs="Arial"/>
        </w:rPr>
        <w:t xml:space="preserve">The Freedom of Information Act was passed on 30 November 2000 and </w:t>
      </w:r>
      <w:r w:rsidR="00EE27B4">
        <w:rPr>
          <w:rFonts w:cs="Arial"/>
        </w:rPr>
        <w:t>came into</w:t>
      </w:r>
      <w:r w:rsidRPr="00DC4F0B">
        <w:rPr>
          <w:rFonts w:cs="Arial"/>
        </w:rPr>
        <w:t xml:space="preserve"> force </w:t>
      </w:r>
      <w:r w:rsidR="00EE27B4">
        <w:rPr>
          <w:rFonts w:cs="Arial"/>
        </w:rPr>
        <w:t xml:space="preserve">on </w:t>
      </w:r>
      <w:r w:rsidRPr="00DC4F0B">
        <w:rPr>
          <w:rFonts w:cs="Arial"/>
        </w:rPr>
        <w:t xml:space="preserve">1 January 2005.  The Act gives a general right of access to all types of recorded information held by public authorities, sets out exemptions from that right and places a number of obligations on public authorities.  In the context of the Act, universities are considered to be public authorities. </w:t>
      </w:r>
    </w:p>
    <w:p w14:paraId="67535804" w14:textId="77777777" w:rsidR="00EE27B4" w:rsidRPr="00DC4F0B" w:rsidRDefault="00EE27B4" w:rsidP="00EE27B4">
      <w:pPr>
        <w:pStyle w:val="L1A"/>
      </w:pPr>
      <w:r>
        <w:t>Policy Statement</w:t>
      </w:r>
    </w:p>
    <w:p w14:paraId="0364836C" w14:textId="77777777" w:rsidR="004A25E3" w:rsidRPr="00DC4F0B" w:rsidRDefault="004A25E3" w:rsidP="002B0DF2">
      <w:pPr>
        <w:pStyle w:val="L2A"/>
        <w:numPr>
          <w:ilvl w:val="0"/>
          <w:numId w:val="0"/>
        </w:numPr>
        <w:ind w:left="567"/>
        <w:rPr>
          <w:rFonts w:cs="Arial"/>
        </w:rPr>
      </w:pPr>
      <w:r w:rsidRPr="00DC4F0B">
        <w:rPr>
          <w:rFonts w:cs="Arial"/>
        </w:rPr>
        <w:t>The University fully supports the underlying principle of the Freedom of Information Act 2000 - to provide a right of access to information held by public authorities - and is fully committed to meeting its obligations under the legislation.</w:t>
      </w:r>
    </w:p>
    <w:p w14:paraId="42128446" w14:textId="77777777" w:rsidR="004A25E3" w:rsidRPr="00DC4F0B" w:rsidRDefault="004A25E3" w:rsidP="002B0DF2">
      <w:pPr>
        <w:pStyle w:val="L2A"/>
        <w:numPr>
          <w:ilvl w:val="0"/>
          <w:numId w:val="0"/>
        </w:numPr>
        <w:ind w:left="567"/>
        <w:rPr>
          <w:rFonts w:cs="Arial"/>
        </w:rPr>
      </w:pPr>
      <w:r w:rsidRPr="00DC4F0B">
        <w:rPr>
          <w:rFonts w:cs="Arial"/>
        </w:rPr>
        <w:t xml:space="preserve">To the extent that it is practicable, the University will endeavour to make information considered of interest to the broader public available through the medium of its Publication Scheme.  </w:t>
      </w:r>
    </w:p>
    <w:p w14:paraId="5B695A8D" w14:textId="77777777" w:rsidR="004A25E3" w:rsidRPr="00DC4F0B" w:rsidRDefault="004A25E3" w:rsidP="002B0DF2">
      <w:pPr>
        <w:pStyle w:val="L2A"/>
        <w:numPr>
          <w:ilvl w:val="0"/>
          <w:numId w:val="0"/>
        </w:numPr>
        <w:ind w:left="567"/>
        <w:rPr>
          <w:rFonts w:cs="Arial"/>
        </w:rPr>
      </w:pPr>
      <w:r w:rsidRPr="00DC4F0B">
        <w:rPr>
          <w:rFonts w:cs="Arial"/>
        </w:rPr>
        <w:t>Where a request is received for access to information not contained within the publication scheme, such requests will be processed in a timely manner and in accordance with the requirements of the legislation and this policy.</w:t>
      </w:r>
    </w:p>
    <w:p w14:paraId="73C3CD5A" w14:textId="77777777" w:rsidR="004A25E3" w:rsidRPr="00DC4F0B" w:rsidRDefault="004A25E3" w:rsidP="002B0DF2">
      <w:pPr>
        <w:pStyle w:val="L2A"/>
        <w:numPr>
          <w:ilvl w:val="0"/>
          <w:numId w:val="0"/>
        </w:numPr>
        <w:ind w:left="567"/>
        <w:rPr>
          <w:rFonts w:cs="Arial"/>
        </w:rPr>
      </w:pPr>
      <w:r w:rsidRPr="00DC4F0B">
        <w:rPr>
          <w:rFonts w:cs="Arial"/>
        </w:rPr>
        <w:t>The University will promote and sponsor effective records management practices to ensure that information can be readily located and retrieved in a timely manner.</w:t>
      </w:r>
    </w:p>
    <w:p w14:paraId="39A9F8BF" w14:textId="77777777" w:rsidR="003C02B0" w:rsidRPr="00DC4F0B" w:rsidRDefault="004A25E3" w:rsidP="00FE75DC">
      <w:pPr>
        <w:pStyle w:val="L1A"/>
        <w:spacing w:before="240"/>
        <w:rPr>
          <w:rFonts w:cs="Arial"/>
        </w:rPr>
      </w:pPr>
      <w:r w:rsidRPr="00DC4F0B">
        <w:rPr>
          <w:rFonts w:cs="Arial"/>
        </w:rPr>
        <w:t>Obligations under the Act</w:t>
      </w:r>
    </w:p>
    <w:p w14:paraId="48B88563" w14:textId="77777777" w:rsidR="003C02B0" w:rsidRPr="00DC4F0B" w:rsidRDefault="004A25E3" w:rsidP="00265162">
      <w:pPr>
        <w:pStyle w:val="L2A"/>
        <w:rPr>
          <w:rFonts w:cs="Arial"/>
          <w:b/>
        </w:rPr>
      </w:pPr>
      <w:r w:rsidRPr="00DC4F0B">
        <w:rPr>
          <w:rFonts w:cs="Arial"/>
          <w:b/>
        </w:rPr>
        <w:t>Right of Access</w:t>
      </w:r>
      <w:r w:rsidR="003C02B0" w:rsidRPr="00DC4F0B">
        <w:rPr>
          <w:rFonts w:cs="Arial"/>
          <w:b/>
        </w:rPr>
        <w:t>.</w:t>
      </w:r>
    </w:p>
    <w:p w14:paraId="69E2042C" w14:textId="77777777" w:rsidR="004A25E3" w:rsidRPr="00DC4F0B" w:rsidRDefault="004A25E3" w:rsidP="00765265">
      <w:pPr>
        <w:pStyle w:val="L3A"/>
        <w:numPr>
          <w:ilvl w:val="0"/>
          <w:numId w:val="0"/>
        </w:numPr>
        <w:ind w:left="851"/>
      </w:pPr>
      <w:r w:rsidRPr="00DC4F0B">
        <w:t>Under the provisions of the Act individuals have the right to be told whether particular information exists and the right to receive the information.  Upon receipt of a request for information a public authority has 20 working days in which to respond.  A charge, set in accordance with the Fees Regulations defined by the Secretary of State, may be made for providing the information.</w:t>
      </w:r>
    </w:p>
    <w:p w14:paraId="1EC70AB1" w14:textId="77777777" w:rsidR="004A25E3" w:rsidRPr="00DC4F0B" w:rsidRDefault="004A25E3" w:rsidP="00765265">
      <w:pPr>
        <w:pStyle w:val="L3A"/>
        <w:numPr>
          <w:ilvl w:val="0"/>
          <w:numId w:val="0"/>
        </w:numPr>
        <w:ind w:left="851"/>
        <w:rPr>
          <w:rFonts w:cs="Arial"/>
        </w:rPr>
      </w:pPr>
      <w:r w:rsidRPr="00DC4F0B">
        <w:rPr>
          <w:rFonts w:cs="Arial"/>
        </w:rPr>
        <w:t xml:space="preserve">Whilst the Act contains a number of exemptions to the right of access to information, some are not relevant to the higher education sector. However, it should be noted that information included in the publication scheme is exempt from access (on the grounds that it is available under the scheme). </w:t>
      </w:r>
    </w:p>
    <w:p w14:paraId="54F1E1B2" w14:textId="77777777" w:rsidR="003C02B0" w:rsidRPr="00DC4F0B" w:rsidRDefault="004A25E3" w:rsidP="00265162">
      <w:pPr>
        <w:pStyle w:val="L2A"/>
        <w:rPr>
          <w:rFonts w:cs="Arial"/>
          <w:b/>
        </w:rPr>
      </w:pPr>
      <w:r w:rsidRPr="00DC4F0B">
        <w:rPr>
          <w:rFonts w:cs="Arial"/>
          <w:b/>
        </w:rPr>
        <w:t>Publication Scheme</w:t>
      </w:r>
      <w:r w:rsidR="003C02B0" w:rsidRPr="00DC4F0B">
        <w:rPr>
          <w:rFonts w:cs="Arial"/>
          <w:b/>
        </w:rPr>
        <w:t>.</w:t>
      </w:r>
    </w:p>
    <w:p w14:paraId="5E6C48BF" w14:textId="77777777" w:rsidR="004A25E3" w:rsidRPr="00DC4F0B" w:rsidRDefault="004A25E3" w:rsidP="00765265">
      <w:pPr>
        <w:pStyle w:val="L3A"/>
        <w:numPr>
          <w:ilvl w:val="0"/>
          <w:numId w:val="0"/>
        </w:numPr>
        <w:ind w:left="851"/>
        <w:rPr>
          <w:rFonts w:cs="Arial"/>
        </w:rPr>
      </w:pPr>
      <w:r w:rsidRPr="00DC4F0B">
        <w:rPr>
          <w:rFonts w:cs="Arial"/>
        </w:rPr>
        <w:t xml:space="preserve">Public authorities are required to adopt and maintain a publication scheme.  Such schemes must set out the types of information the authority publishes, the form in which it is published and details of any charges. </w:t>
      </w:r>
    </w:p>
    <w:p w14:paraId="7B2FB47B" w14:textId="77777777" w:rsidR="004A25E3" w:rsidRPr="00DC4F0B" w:rsidRDefault="004A25E3" w:rsidP="00765265">
      <w:pPr>
        <w:pStyle w:val="L3A"/>
        <w:numPr>
          <w:ilvl w:val="0"/>
          <w:numId w:val="0"/>
        </w:numPr>
        <w:ind w:left="851"/>
        <w:rPr>
          <w:rFonts w:cs="Arial"/>
        </w:rPr>
      </w:pPr>
      <w:r w:rsidRPr="00DC4F0B">
        <w:rPr>
          <w:rFonts w:cs="Arial"/>
        </w:rPr>
        <w:t>The University’s Publication Scheme and access to many of the documents contained within the scheme are accessible on the University’s Information Assurance Services website.</w:t>
      </w:r>
    </w:p>
    <w:p w14:paraId="702BBE81" w14:textId="79BD5704" w:rsidR="003C02B0" w:rsidRPr="00DC4F0B" w:rsidRDefault="00765265" w:rsidP="00765265">
      <w:pPr>
        <w:pStyle w:val="L3A"/>
        <w:numPr>
          <w:ilvl w:val="0"/>
          <w:numId w:val="0"/>
        </w:numPr>
        <w:ind w:left="851"/>
        <w:rPr>
          <w:rFonts w:cs="Arial"/>
        </w:rPr>
      </w:pPr>
      <w:r>
        <w:rPr>
          <w:rFonts w:cs="Arial"/>
        </w:rPr>
        <w:lastRenderedPageBreak/>
        <w:t>T</w:t>
      </w:r>
      <w:r w:rsidR="004A25E3" w:rsidRPr="00DC4F0B">
        <w:rPr>
          <w:rFonts w:cs="Arial"/>
        </w:rPr>
        <w:t>he University’s Publication Scheme and documents contained within the scheme are also available upon request from Information Assurance Services.</w:t>
      </w:r>
    </w:p>
    <w:p w14:paraId="59384363" w14:textId="77777777" w:rsidR="003C02B0" w:rsidRPr="00DC4F0B" w:rsidRDefault="004A25E3" w:rsidP="00265162">
      <w:pPr>
        <w:pStyle w:val="L2A"/>
        <w:rPr>
          <w:rFonts w:cs="Arial"/>
          <w:b/>
        </w:rPr>
      </w:pPr>
      <w:r w:rsidRPr="00DC4F0B">
        <w:rPr>
          <w:rFonts w:cs="Arial"/>
          <w:b/>
        </w:rPr>
        <w:t>Codes of Practice</w:t>
      </w:r>
    </w:p>
    <w:p w14:paraId="5E7E15CA" w14:textId="77777777" w:rsidR="004A25E3" w:rsidRPr="00DC4F0B" w:rsidRDefault="004A25E3" w:rsidP="00765265">
      <w:pPr>
        <w:pStyle w:val="L3A"/>
        <w:numPr>
          <w:ilvl w:val="0"/>
          <w:numId w:val="0"/>
        </w:numPr>
        <w:ind w:left="851"/>
        <w:rPr>
          <w:rFonts w:cs="Arial"/>
        </w:rPr>
      </w:pPr>
      <w:r w:rsidRPr="00DC4F0B">
        <w:rPr>
          <w:rFonts w:cs="Arial"/>
        </w:rPr>
        <w:t>Public authorities are also required to introduce Codes of Practice for responding to requests for information and for records management.  Whilst these Codes of Practice do not have statutory force, the Act does require the Information Commissioner to promote observance of the Codes.</w:t>
      </w:r>
    </w:p>
    <w:p w14:paraId="5E13AB77" w14:textId="08D6257F" w:rsidR="002B0DF2" w:rsidRPr="002B0DF2" w:rsidRDefault="004A25E3" w:rsidP="00765265">
      <w:pPr>
        <w:pStyle w:val="L3A"/>
        <w:numPr>
          <w:ilvl w:val="0"/>
          <w:numId w:val="0"/>
        </w:numPr>
        <w:ind w:left="851"/>
        <w:rPr>
          <w:rFonts w:cs="Arial"/>
        </w:rPr>
      </w:pPr>
      <w:r w:rsidRPr="00DC4F0B">
        <w:t xml:space="preserve">The Code of Practice for responding to requests for information is incorporated within a separate procedure detailing the request handling process. </w:t>
      </w:r>
    </w:p>
    <w:p w14:paraId="2616C4A5" w14:textId="139D31FA" w:rsidR="004D6198" w:rsidRPr="002B0DF2" w:rsidRDefault="004D6198" w:rsidP="002B0DF2">
      <w:pPr>
        <w:pStyle w:val="L3A"/>
        <w:numPr>
          <w:ilvl w:val="0"/>
          <w:numId w:val="0"/>
        </w:numPr>
        <w:ind w:left="851"/>
        <w:rPr>
          <w:rFonts w:cs="Arial"/>
        </w:rPr>
      </w:pPr>
      <w:r w:rsidRPr="002B0DF2">
        <w:rPr>
          <w:rFonts w:cs="Arial"/>
        </w:rPr>
        <w:t>The Code of Practice for responding to requests for information is incorporated within a separate procedure detailing the request handling process. The Code of Practice for Records Management is embedded within a separate Records Management policy</w:t>
      </w:r>
      <w:r w:rsidR="002B0DF2" w:rsidRPr="002B0DF2">
        <w:rPr>
          <w:rFonts w:cs="Arial"/>
        </w:rPr>
        <w:t xml:space="preserve">. These documents </w:t>
      </w:r>
      <w:r w:rsidRPr="002B0DF2">
        <w:rPr>
          <w:rFonts w:cs="Arial"/>
        </w:rPr>
        <w:t xml:space="preserve">can be obtained by contacting the </w:t>
      </w:r>
      <w:r w:rsidR="002B0DF2" w:rsidRPr="002B0DF2">
        <w:rPr>
          <w:rFonts w:cs="Arial"/>
        </w:rPr>
        <w:t xml:space="preserve">Records Management. </w:t>
      </w:r>
    </w:p>
    <w:p w14:paraId="5282B4BF" w14:textId="4A988106" w:rsidR="004D6198" w:rsidRPr="002B0DF2" w:rsidRDefault="002F000E" w:rsidP="002F000E">
      <w:pPr>
        <w:pStyle w:val="L3A"/>
        <w:numPr>
          <w:ilvl w:val="0"/>
          <w:numId w:val="0"/>
        </w:numPr>
        <w:ind w:left="851"/>
        <w:rPr>
          <w:rFonts w:cs="Arial"/>
        </w:rPr>
      </w:pPr>
      <w:r w:rsidRPr="002B0DF2">
        <w:rPr>
          <w:rFonts w:cs="Arial"/>
        </w:rPr>
        <w:t>E</w:t>
      </w:r>
      <w:r w:rsidR="002B0DF2" w:rsidRPr="002B0DF2">
        <w:rPr>
          <w:rFonts w:cs="Arial"/>
        </w:rPr>
        <w:t>mail:</w:t>
      </w:r>
      <w:r w:rsidR="002B0DF2" w:rsidRPr="002B0DF2">
        <w:rPr>
          <w:rFonts w:eastAsia="MS Mincho" w:cs="Arial"/>
          <w:lang w:eastAsia="ja-JP"/>
        </w:rPr>
        <w:t xml:space="preserve"> </w:t>
      </w:r>
      <w:hyperlink r:id="rId9" w:history="1">
        <w:r w:rsidR="002B0DF2" w:rsidRPr="002B0DF2">
          <w:rPr>
            <w:rFonts w:eastAsia="MS Mincho" w:cs="Arial"/>
            <w:color w:val="0563C1"/>
            <w:u w:val="single"/>
            <w:lang w:eastAsia="ja-JP"/>
          </w:rPr>
          <w:t>records.management@leicester.ac.uk</w:t>
        </w:r>
      </w:hyperlink>
    </w:p>
    <w:p w14:paraId="385D00AD" w14:textId="77777777" w:rsidR="003C02B0" w:rsidRPr="00DC4F0B" w:rsidRDefault="008E5097" w:rsidP="00FE75DC">
      <w:pPr>
        <w:pStyle w:val="L1A"/>
        <w:spacing w:before="240"/>
        <w:rPr>
          <w:rFonts w:cs="Arial"/>
        </w:rPr>
      </w:pPr>
      <w:r w:rsidRPr="00DC4F0B">
        <w:rPr>
          <w:rFonts w:cs="Arial"/>
        </w:rPr>
        <w:t>Information Commissioner</w:t>
      </w:r>
    </w:p>
    <w:p w14:paraId="62EFCF14" w14:textId="77777777" w:rsidR="008E5097" w:rsidRPr="00DC4F0B" w:rsidRDefault="008E5097" w:rsidP="00765265">
      <w:pPr>
        <w:pStyle w:val="L2A"/>
        <w:numPr>
          <w:ilvl w:val="0"/>
          <w:numId w:val="0"/>
        </w:numPr>
        <w:ind w:left="567"/>
        <w:rPr>
          <w:rFonts w:cs="Arial"/>
        </w:rPr>
      </w:pPr>
      <w:r w:rsidRPr="00DC4F0B">
        <w:rPr>
          <w:rFonts w:cs="Arial"/>
        </w:rPr>
        <w:t>The Act establishes the office of the Information Commissioner with responsibility for the implementation and observance of the Act.</w:t>
      </w:r>
    </w:p>
    <w:p w14:paraId="24E81120" w14:textId="77777777" w:rsidR="008E5097" w:rsidRPr="00DC4F0B" w:rsidRDefault="008E5097" w:rsidP="00765265">
      <w:pPr>
        <w:pStyle w:val="L2A"/>
        <w:numPr>
          <w:ilvl w:val="0"/>
          <w:numId w:val="0"/>
        </w:numPr>
        <w:ind w:left="567"/>
        <w:rPr>
          <w:rFonts w:cs="Arial"/>
        </w:rPr>
      </w:pPr>
      <w:r w:rsidRPr="00DC4F0B">
        <w:rPr>
          <w:rFonts w:cs="Arial"/>
        </w:rPr>
        <w:t>The specific duties of the Information Commissioner include:</w:t>
      </w:r>
    </w:p>
    <w:p w14:paraId="75E5D0D0" w14:textId="77777777" w:rsidR="008E5097" w:rsidRPr="00DC4F0B" w:rsidRDefault="008E5097" w:rsidP="004E3285">
      <w:pPr>
        <w:pStyle w:val="L4A"/>
        <w:numPr>
          <w:ilvl w:val="4"/>
          <w:numId w:val="5"/>
        </w:numPr>
        <w:rPr>
          <w:rFonts w:cs="Arial"/>
        </w:rPr>
      </w:pPr>
      <w:r w:rsidRPr="00DC4F0B">
        <w:rPr>
          <w:rFonts w:cs="Arial"/>
        </w:rPr>
        <w:t>Promotion of good practice and observance of the Act;</w:t>
      </w:r>
    </w:p>
    <w:p w14:paraId="0C88B3C0" w14:textId="77777777" w:rsidR="008E5097" w:rsidRPr="00DC4F0B" w:rsidRDefault="008E5097" w:rsidP="004E3285">
      <w:pPr>
        <w:pStyle w:val="L4A"/>
        <w:numPr>
          <w:ilvl w:val="4"/>
          <w:numId w:val="5"/>
        </w:numPr>
        <w:rPr>
          <w:rFonts w:cs="Arial"/>
        </w:rPr>
      </w:pPr>
      <w:r w:rsidRPr="00DC4F0B">
        <w:rPr>
          <w:rFonts w:cs="Arial"/>
        </w:rPr>
        <w:t>Approval of publication schemes;</w:t>
      </w:r>
    </w:p>
    <w:p w14:paraId="73648DB6" w14:textId="77777777" w:rsidR="008E5097" w:rsidRPr="00DC4F0B" w:rsidRDefault="008E5097" w:rsidP="004E3285">
      <w:pPr>
        <w:pStyle w:val="L4A"/>
        <w:numPr>
          <w:ilvl w:val="4"/>
          <w:numId w:val="5"/>
        </w:numPr>
        <w:rPr>
          <w:rFonts w:cs="Arial"/>
        </w:rPr>
      </w:pPr>
      <w:r w:rsidRPr="00DC4F0B">
        <w:rPr>
          <w:rFonts w:cs="Arial"/>
        </w:rPr>
        <w:t>Provision of advice and information to the public as to their rights under the Act;</w:t>
      </w:r>
    </w:p>
    <w:p w14:paraId="739D6B76" w14:textId="77777777" w:rsidR="008E5097" w:rsidRPr="00DC4F0B" w:rsidRDefault="008E5097" w:rsidP="004E3285">
      <w:pPr>
        <w:pStyle w:val="L4A"/>
        <w:numPr>
          <w:ilvl w:val="4"/>
          <w:numId w:val="5"/>
        </w:numPr>
        <w:rPr>
          <w:rFonts w:cs="Arial"/>
        </w:rPr>
      </w:pPr>
      <w:r w:rsidRPr="00DC4F0B">
        <w:rPr>
          <w:rFonts w:cs="Arial"/>
        </w:rPr>
        <w:t>Enforcement of compliance with the Act.</w:t>
      </w:r>
    </w:p>
    <w:p w14:paraId="793080E1" w14:textId="77777777" w:rsidR="008E5097" w:rsidRPr="00DC4F0B" w:rsidRDefault="008E5097" w:rsidP="00765265">
      <w:pPr>
        <w:pStyle w:val="L2A"/>
        <w:numPr>
          <w:ilvl w:val="0"/>
          <w:numId w:val="0"/>
        </w:numPr>
        <w:ind w:left="567"/>
        <w:rPr>
          <w:rFonts w:cs="Arial"/>
        </w:rPr>
      </w:pPr>
      <w:r w:rsidRPr="00DC4F0B">
        <w:rPr>
          <w:rFonts w:cs="Arial"/>
        </w:rPr>
        <w:t xml:space="preserve">Note that the Information Commissioner also has responsibility for implementation and compliance with the </w:t>
      </w:r>
      <w:r w:rsidR="002F000E">
        <w:rPr>
          <w:rFonts w:cs="Arial"/>
        </w:rPr>
        <w:t xml:space="preserve">General Data Protection Regulation (GDPR) and the Data Protection Act 2018. </w:t>
      </w:r>
    </w:p>
    <w:p w14:paraId="54CD310C" w14:textId="77777777" w:rsidR="003C02B0" w:rsidRPr="00DC4F0B" w:rsidRDefault="008E5097" w:rsidP="00FE75DC">
      <w:pPr>
        <w:pStyle w:val="L1A"/>
        <w:spacing w:before="240"/>
        <w:rPr>
          <w:rFonts w:cs="Arial"/>
        </w:rPr>
      </w:pPr>
      <w:r w:rsidRPr="00DC4F0B">
        <w:rPr>
          <w:rFonts w:cs="Arial"/>
        </w:rPr>
        <w:t>Enforcement</w:t>
      </w:r>
    </w:p>
    <w:p w14:paraId="5EDF7632" w14:textId="77777777" w:rsidR="008E5097" w:rsidRPr="00DC4F0B" w:rsidRDefault="008E5097" w:rsidP="00765265">
      <w:pPr>
        <w:pStyle w:val="L2A"/>
        <w:numPr>
          <w:ilvl w:val="0"/>
          <w:numId w:val="0"/>
        </w:numPr>
        <w:ind w:left="567"/>
        <w:rPr>
          <w:rFonts w:cs="Arial"/>
        </w:rPr>
      </w:pPr>
      <w:r w:rsidRPr="00DC4F0B">
        <w:rPr>
          <w:rFonts w:cs="Arial"/>
        </w:rPr>
        <w:t xml:space="preserve">The Freedom of Information Act provides legal remedies against public authorities that do not comply with the legislation which can lead to fines and could ultimately be treated as contempt of court.  It is therefore extremely important to </w:t>
      </w:r>
      <w:r w:rsidR="004E3285">
        <w:rPr>
          <w:rFonts w:cs="Arial"/>
        </w:rPr>
        <w:t>adhere to this policy and associated guidance</w:t>
      </w:r>
      <w:r w:rsidRPr="00DC4F0B">
        <w:rPr>
          <w:rFonts w:cs="Arial"/>
        </w:rPr>
        <w:t xml:space="preserve"> – failure to do so may result in disciplinary action being taken by the University. </w:t>
      </w:r>
    </w:p>
    <w:p w14:paraId="3DC63807" w14:textId="77777777" w:rsidR="00265162" w:rsidRPr="00DC4F0B" w:rsidRDefault="008E5097" w:rsidP="00FE75DC">
      <w:pPr>
        <w:pStyle w:val="L1A"/>
        <w:spacing w:before="240"/>
        <w:rPr>
          <w:rFonts w:cs="Arial"/>
        </w:rPr>
      </w:pPr>
      <w:r w:rsidRPr="00DC4F0B">
        <w:rPr>
          <w:rFonts w:cs="Arial"/>
        </w:rPr>
        <w:t>Data Protection and Freedom of Information</w:t>
      </w:r>
    </w:p>
    <w:p w14:paraId="7860328A" w14:textId="77777777" w:rsidR="008E5097" w:rsidRPr="00DC4F0B" w:rsidRDefault="008E5097" w:rsidP="00765265">
      <w:pPr>
        <w:pStyle w:val="L2A"/>
        <w:numPr>
          <w:ilvl w:val="0"/>
          <w:numId w:val="0"/>
        </w:numPr>
        <w:ind w:left="567"/>
        <w:rPr>
          <w:rFonts w:cs="Arial"/>
        </w:rPr>
      </w:pPr>
      <w:r w:rsidRPr="00DC4F0B">
        <w:rPr>
          <w:rFonts w:cs="Arial"/>
        </w:rPr>
        <w:t>Personal data which falls within the sc</w:t>
      </w:r>
      <w:r w:rsidR="002F000E">
        <w:rPr>
          <w:rFonts w:cs="Arial"/>
        </w:rPr>
        <w:t>ope of the Data Protection Act 201</w:t>
      </w:r>
      <w:r w:rsidRPr="00DC4F0B">
        <w:rPr>
          <w:rFonts w:cs="Arial"/>
        </w:rPr>
        <w:t>8 is not covered by the Freedom of Information 2000 and therefore not publicly accessible.</w:t>
      </w:r>
    </w:p>
    <w:p w14:paraId="1D7FDBB6" w14:textId="77777777" w:rsidR="008E5097" w:rsidRPr="00DC4F0B" w:rsidRDefault="008E5097" w:rsidP="00765265">
      <w:pPr>
        <w:pStyle w:val="L2A"/>
        <w:numPr>
          <w:ilvl w:val="0"/>
          <w:numId w:val="0"/>
        </w:numPr>
        <w:ind w:left="567"/>
        <w:rPr>
          <w:rFonts w:cs="Arial"/>
        </w:rPr>
      </w:pPr>
      <w:r w:rsidRPr="00DC4F0B">
        <w:rPr>
          <w:rFonts w:cs="Arial"/>
        </w:rPr>
        <w:t>In some instances certain personal information may be released where it relates to senior staff</w:t>
      </w:r>
      <w:r w:rsidR="005B29FF">
        <w:rPr>
          <w:rFonts w:cs="Arial"/>
        </w:rPr>
        <w:t xml:space="preserve"> or </w:t>
      </w:r>
      <w:r w:rsidRPr="00DC4F0B">
        <w:rPr>
          <w:rFonts w:cs="Arial"/>
        </w:rPr>
        <w:t xml:space="preserve">staff in public facing roles, </w:t>
      </w:r>
      <w:r w:rsidR="005B29FF">
        <w:rPr>
          <w:rFonts w:cs="Arial"/>
        </w:rPr>
        <w:t>but</w:t>
      </w:r>
      <w:r w:rsidRPr="00DC4F0B">
        <w:rPr>
          <w:rFonts w:cs="Arial"/>
        </w:rPr>
        <w:t xml:space="preserve"> only where such information relates to </w:t>
      </w:r>
      <w:r w:rsidR="00483D6E" w:rsidRPr="00DC4F0B">
        <w:rPr>
          <w:rFonts w:cs="Arial"/>
        </w:rPr>
        <w:t>a person’s working life. For example contact information and salary grade.</w:t>
      </w:r>
    </w:p>
    <w:p w14:paraId="4D1C8718" w14:textId="77777777" w:rsidR="00265162" w:rsidRPr="00DC4F0B" w:rsidRDefault="00483D6E" w:rsidP="00FE75DC">
      <w:pPr>
        <w:pStyle w:val="L1A"/>
        <w:spacing w:before="240"/>
        <w:rPr>
          <w:rFonts w:cs="Arial"/>
        </w:rPr>
      </w:pPr>
      <w:r w:rsidRPr="00DC4F0B">
        <w:rPr>
          <w:rFonts w:cs="Arial"/>
        </w:rPr>
        <w:t>Scope</w:t>
      </w:r>
    </w:p>
    <w:p w14:paraId="5A77837A" w14:textId="77777777" w:rsidR="009F0587" w:rsidRPr="00DC4F0B" w:rsidRDefault="009F0587" w:rsidP="00765265">
      <w:pPr>
        <w:pStyle w:val="L2A"/>
        <w:numPr>
          <w:ilvl w:val="0"/>
          <w:numId w:val="0"/>
        </w:numPr>
        <w:ind w:left="567"/>
        <w:rPr>
          <w:rFonts w:cs="Arial"/>
        </w:rPr>
      </w:pPr>
      <w:r w:rsidRPr="00DC4F0B">
        <w:rPr>
          <w:rFonts w:cs="Arial"/>
        </w:rPr>
        <w:t xml:space="preserve">Information that falls within the scope of the Freedom of Information Act 2000 is held in all areas and at all levels of the University.  Whilst there is clearly a corporate </w:t>
      </w:r>
      <w:r w:rsidRPr="00DC4F0B">
        <w:rPr>
          <w:rFonts w:cs="Arial"/>
        </w:rPr>
        <w:lastRenderedPageBreak/>
        <w:t>responsibility for compliance with the freedom of information legislation, given the complexity of the organisation this responsibility is devolved to Heads of Department</w:t>
      </w:r>
      <w:r w:rsidRPr="00DC4F0B">
        <w:rPr>
          <w:rStyle w:val="FootnoteReference"/>
          <w:rFonts w:cs="Arial"/>
        </w:rPr>
        <w:footnoteReference w:id="1"/>
      </w:r>
      <w:r w:rsidRPr="00DC4F0B">
        <w:rPr>
          <w:rFonts w:cs="Arial"/>
        </w:rPr>
        <w:t xml:space="preserve"> </w:t>
      </w:r>
    </w:p>
    <w:p w14:paraId="35FBBE68" w14:textId="77777777" w:rsidR="009F0587" w:rsidRPr="00DC4F0B" w:rsidRDefault="009F0587" w:rsidP="005A1557">
      <w:pPr>
        <w:pStyle w:val="L1A"/>
        <w:tabs>
          <w:tab w:val="clear" w:pos="567"/>
        </w:tabs>
        <w:rPr>
          <w:rFonts w:cs="Arial"/>
        </w:rPr>
      </w:pPr>
      <w:r w:rsidRPr="00DC4F0B">
        <w:rPr>
          <w:rFonts w:cs="Arial"/>
        </w:rPr>
        <w:t>Responsibilities</w:t>
      </w:r>
    </w:p>
    <w:p w14:paraId="15C46284" w14:textId="77777777" w:rsidR="009F0587" w:rsidRPr="00DC4F0B" w:rsidRDefault="002F000E" w:rsidP="005A1557">
      <w:pPr>
        <w:pStyle w:val="L2A"/>
        <w:tabs>
          <w:tab w:val="clear" w:pos="567"/>
        </w:tabs>
        <w:rPr>
          <w:rFonts w:cs="Arial"/>
          <w:b/>
        </w:rPr>
      </w:pPr>
      <w:r>
        <w:rPr>
          <w:rFonts w:cs="Arial"/>
          <w:b/>
        </w:rPr>
        <w:t>The Information Assurance Team</w:t>
      </w:r>
    </w:p>
    <w:p w14:paraId="2A04276A" w14:textId="77777777" w:rsidR="009F0587" w:rsidRPr="00DC4F0B" w:rsidRDefault="005A1557" w:rsidP="00765265">
      <w:pPr>
        <w:pStyle w:val="L3A"/>
        <w:numPr>
          <w:ilvl w:val="0"/>
          <w:numId w:val="0"/>
        </w:numPr>
        <w:ind w:left="851"/>
        <w:rPr>
          <w:rFonts w:cs="Arial"/>
        </w:rPr>
      </w:pPr>
      <w:r w:rsidRPr="00DC4F0B">
        <w:rPr>
          <w:rFonts w:cs="Arial"/>
        </w:rPr>
        <w:t>The</w:t>
      </w:r>
      <w:r w:rsidR="009F0587" w:rsidRPr="00DC4F0B">
        <w:rPr>
          <w:rFonts w:cs="Arial"/>
        </w:rPr>
        <w:t xml:space="preserve"> University’s </w:t>
      </w:r>
      <w:r w:rsidR="002F000E">
        <w:rPr>
          <w:rFonts w:cs="Arial"/>
        </w:rPr>
        <w:t xml:space="preserve">Information Assurance Team have </w:t>
      </w:r>
      <w:r w:rsidR="009F0587" w:rsidRPr="00DC4F0B">
        <w:rPr>
          <w:rFonts w:cs="Arial"/>
        </w:rPr>
        <w:t xml:space="preserve">responsibilities with respect to Freedom of </w:t>
      </w:r>
      <w:r w:rsidR="002F000E">
        <w:rPr>
          <w:rFonts w:cs="Arial"/>
        </w:rPr>
        <w:t xml:space="preserve">Information as detailed below. </w:t>
      </w:r>
      <w:r w:rsidR="009F0587" w:rsidRPr="00DC4F0B">
        <w:rPr>
          <w:rFonts w:cs="Arial"/>
        </w:rPr>
        <w:t xml:space="preserve">The role is referred to as </w:t>
      </w:r>
      <w:r w:rsidR="002F000E">
        <w:rPr>
          <w:rFonts w:cs="Arial"/>
        </w:rPr>
        <w:t>IAS</w:t>
      </w:r>
      <w:r w:rsidR="009F0587" w:rsidRPr="00DC4F0B">
        <w:rPr>
          <w:rFonts w:cs="Arial"/>
        </w:rPr>
        <w:t xml:space="preserve"> Officer</w:t>
      </w:r>
      <w:r w:rsidR="002F000E">
        <w:rPr>
          <w:rFonts w:cs="Arial"/>
        </w:rPr>
        <w:t>s</w:t>
      </w:r>
      <w:r w:rsidR="009F0587" w:rsidRPr="00DC4F0B">
        <w:rPr>
          <w:rFonts w:cs="Arial"/>
        </w:rPr>
        <w:t xml:space="preserve"> throughout this and associated documents.</w:t>
      </w:r>
    </w:p>
    <w:p w14:paraId="7C68CF97"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advise staff of their responsibilities with respect to freedom of information;</w:t>
      </w:r>
    </w:p>
    <w:p w14:paraId="5BF0DC00"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provide guidance and training to the University in the requirements of the legislation;</w:t>
      </w:r>
    </w:p>
    <w:p w14:paraId="4234C77D"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advise the University in all matters pertaining to freedom of information;</w:t>
      </w:r>
    </w:p>
    <w:p w14:paraId="7DD5D7EE"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co-ordinate and supervise the creation, maintenance and development of the University’s Publication Scheme;</w:t>
      </w:r>
    </w:p>
    <w:p w14:paraId="0FC9B748"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ensure that arrangements are made for dealing with requests for access;</w:t>
      </w:r>
    </w:p>
    <w:p w14:paraId="4888F556"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establish, maintain and manage a scheme of charging for access requests in accordance with the Fees Regulations as set out by the Secretary of State;</w:t>
      </w:r>
    </w:p>
    <w:p w14:paraId="4938B637"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establish, maintain and manage procedures for the processing of complaints relating to freedom of information;</w:t>
      </w:r>
    </w:p>
    <w:p w14:paraId="1FB32AE2" w14:textId="77777777" w:rsidR="009F0587" w:rsidRPr="00DC4F0B" w:rsidRDefault="009F0587" w:rsidP="005A1557">
      <w:pPr>
        <w:numPr>
          <w:ilvl w:val="3"/>
          <w:numId w:val="7"/>
        </w:numPr>
        <w:tabs>
          <w:tab w:val="clear" w:pos="1069"/>
        </w:tabs>
        <w:ind w:left="1276" w:hanging="425"/>
        <w:rPr>
          <w:rFonts w:ascii="Arial" w:hAnsi="Arial" w:cs="Arial"/>
        </w:rPr>
      </w:pPr>
      <w:r w:rsidRPr="00DC4F0B">
        <w:rPr>
          <w:rFonts w:ascii="Arial" w:hAnsi="Arial" w:cs="Arial"/>
        </w:rPr>
        <w:t>To ensure that difficulties in matters related to freedom of information are promptly resolved;</w:t>
      </w:r>
    </w:p>
    <w:p w14:paraId="3780DDD8" w14:textId="77777777" w:rsidR="009F0587" w:rsidRPr="00DC4F0B" w:rsidRDefault="009F0587" w:rsidP="005A1557">
      <w:pPr>
        <w:numPr>
          <w:ilvl w:val="3"/>
          <w:numId w:val="7"/>
        </w:numPr>
        <w:tabs>
          <w:tab w:val="clear" w:pos="1069"/>
        </w:tabs>
        <w:spacing w:after="240"/>
        <w:ind w:left="1276" w:hanging="425"/>
        <w:rPr>
          <w:rFonts w:ascii="Arial" w:hAnsi="Arial" w:cs="Arial"/>
        </w:rPr>
      </w:pPr>
      <w:r w:rsidRPr="00DC4F0B">
        <w:rPr>
          <w:rFonts w:ascii="Arial" w:hAnsi="Arial" w:cs="Arial"/>
        </w:rPr>
        <w:t>To ensure that this policy and associated documents are drawn to the attention of staff and are available for consultation.</w:t>
      </w:r>
    </w:p>
    <w:p w14:paraId="65CB74B8" w14:textId="194F6806" w:rsidR="009F0587" w:rsidRPr="00DC4F0B" w:rsidRDefault="009F0587" w:rsidP="00765265">
      <w:pPr>
        <w:pStyle w:val="L3A"/>
        <w:numPr>
          <w:ilvl w:val="0"/>
          <w:numId w:val="0"/>
        </w:numPr>
        <w:ind w:left="851"/>
        <w:rPr>
          <w:rFonts w:cs="Arial"/>
        </w:rPr>
      </w:pPr>
      <w:r w:rsidRPr="00DC4F0B">
        <w:rPr>
          <w:rFonts w:cs="Arial"/>
        </w:rPr>
        <w:t>Contact details are available on the University’s Information Assurance Services website or at the University’s Central Reception Desk in the Fielding Johnson Building.</w:t>
      </w:r>
      <w:bookmarkStart w:id="0" w:name="_GoBack"/>
      <w:bookmarkEnd w:id="0"/>
    </w:p>
    <w:p w14:paraId="49499B19" w14:textId="77777777" w:rsidR="009F0587" w:rsidRPr="00DC4F0B" w:rsidRDefault="009F0587" w:rsidP="00DF293E">
      <w:pPr>
        <w:pStyle w:val="L3A"/>
        <w:numPr>
          <w:ilvl w:val="0"/>
          <w:numId w:val="0"/>
        </w:numPr>
        <w:ind w:left="851" w:hanging="851"/>
        <w:rPr>
          <w:rFonts w:cs="Arial"/>
        </w:rPr>
      </w:pPr>
    </w:p>
    <w:p w14:paraId="27CFE946" w14:textId="77777777" w:rsidR="009F0587" w:rsidRPr="00DC4F0B" w:rsidRDefault="009F0587" w:rsidP="009F0587">
      <w:pPr>
        <w:pStyle w:val="L2A"/>
        <w:rPr>
          <w:rFonts w:cs="Arial"/>
          <w:b/>
        </w:rPr>
      </w:pPr>
      <w:r w:rsidRPr="00DC4F0B">
        <w:rPr>
          <w:rFonts w:cs="Arial"/>
          <w:b/>
        </w:rPr>
        <w:t>Heads of Department</w:t>
      </w:r>
    </w:p>
    <w:p w14:paraId="6E34D813" w14:textId="77777777" w:rsidR="009F0587" w:rsidRPr="00DC4F0B" w:rsidRDefault="009F0587" w:rsidP="00765265">
      <w:pPr>
        <w:pStyle w:val="L3A"/>
        <w:numPr>
          <w:ilvl w:val="0"/>
          <w:numId w:val="0"/>
        </w:numPr>
        <w:ind w:left="851"/>
        <w:rPr>
          <w:rFonts w:cs="Arial"/>
        </w:rPr>
      </w:pPr>
      <w:r w:rsidRPr="00DC4F0B">
        <w:rPr>
          <w:rFonts w:cs="Arial"/>
        </w:rPr>
        <w:t xml:space="preserve">To assist the </w:t>
      </w:r>
      <w:r w:rsidR="00B930A3">
        <w:rPr>
          <w:rFonts w:cs="Arial"/>
        </w:rPr>
        <w:t>IAS Officers</w:t>
      </w:r>
      <w:r w:rsidRPr="00DC4F0B">
        <w:rPr>
          <w:rFonts w:cs="Arial"/>
        </w:rPr>
        <w:t xml:space="preserve"> in the carrying out </w:t>
      </w:r>
      <w:r w:rsidR="00B930A3">
        <w:rPr>
          <w:rFonts w:cs="Arial"/>
        </w:rPr>
        <w:t>of their</w:t>
      </w:r>
      <w:r w:rsidRPr="00DC4F0B">
        <w:rPr>
          <w:rFonts w:cs="Arial"/>
        </w:rPr>
        <w:t xml:space="preserve"> duties, the University requires that Heads of Department assume responsibility for those activities within their departments falling within the scope of the Act.</w:t>
      </w:r>
    </w:p>
    <w:p w14:paraId="7C525333" w14:textId="37D5504E" w:rsidR="009F0587" w:rsidRPr="00DC4F0B" w:rsidRDefault="009F0587" w:rsidP="00765265">
      <w:pPr>
        <w:pStyle w:val="L3A"/>
        <w:numPr>
          <w:ilvl w:val="0"/>
          <w:numId w:val="0"/>
        </w:numPr>
        <w:ind w:left="851"/>
      </w:pPr>
      <w:r w:rsidRPr="00DC4F0B">
        <w:t xml:space="preserve">Heads of Department </w:t>
      </w:r>
      <w:r w:rsidR="003932AB" w:rsidRPr="00DC4F0B">
        <w:t>should</w:t>
      </w:r>
      <w:r w:rsidRPr="00DC4F0B">
        <w:t xml:space="preserve"> appoint Information </w:t>
      </w:r>
      <w:r w:rsidR="003932AB" w:rsidRPr="00DC4F0B">
        <w:t xml:space="preserve">Assurance </w:t>
      </w:r>
      <w:r w:rsidRPr="00DC4F0B">
        <w:t>Coordinators for their departments to assist them in their duties.</w:t>
      </w:r>
      <w:r w:rsidR="002B0DF2" w:rsidRPr="002B0DF2">
        <w:t xml:space="preserve"> </w:t>
      </w:r>
      <w:r w:rsidR="002B0DF2" w:rsidRPr="002B0DF2">
        <w:rPr>
          <w:rFonts w:cs="Arial"/>
        </w:rPr>
        <w:t>Provisions for cover should be put in place for periods that the Coordinator may be absent</w:t>
      </w:r>
      <w:r w:rsidR="002B0DF2">
        <w:rPr>
          <w:rFonts w:cs="Arial"/>
        </w:rPr>
        <w:t>.</w:t>
      </w:r>
    </w:p>
    <w:p w14:paraId="7D4EC6EE" w14:textId="77777777" w:rsidR="009F0587" w:rsidRPr="00DC4F0B" w:rsidRDefault="009F0587" w:rsidP="00765265">
      <w:pPr>
        <w:pStyle w:val="L3A"/>
        <w:numPr>
          <w:ilvl w:val="0"/>
          <w:numId w:val="0"/>
        </w:numPr>
        <w:ind w:left="851"/>
        <w:rPr>
          <w:rFonts w:cs="Arial"/>
        </w:rPr>
      </w:pPr>
      <w:r w:rsidRPr="00DC4F0B">
        <w:rPr>
          <w:rFonts w:cs="Arial"/>
        </w:rPr>
        <w:t xml:space="preserve">Heads of Department are responsible for ensuring that University policy and this Code of Practice are implemented across their department. </w:t>
      </w:r>
    </w:p>
    <w:p w14:paraId="52329EF5" w14:textId="77777777" w:rsidR="009F0587" w:rsidRPr="00DC4F0B" w:rsidRDefault="009F0587" w:rsidP="00765265">
      <w:pPr>
        <w:pStyle w:val="L3A"/>
        <w:numPr>
          <w:ilvl w:val="0"/>
          <w:numId w:val="0"/>
        </w:numPr>
        <w:ind w:left="851"/>
        <w:rPr>
          <w:rFonts w:cs="Arial"/>
        </w:rPr>
      </w:pPr>
      <w:r w:rsidRPr="00DC4F0B">
        <w:rPr>
          <w:rFonts w:cs="Arial"/>
        </w:rPr>
        <w:t>In particular they must ensure that:</w:t>
      </w:r>
    </w:p>
    <w:p w14:paraId="7B08F8A3" w14:textId="77777777" w:rsidR="009F0587" w:rsidRPr="00DC4F0B" w:rsidRDefault="009F0587" w:rsidP="005B29FF">
      <w:pPr>
        <w:pStyle w:val="L2A"/>
        <w:numPr>
          <w:ilvl w:val="3"/>
          <w:numId w:val="8"/>
        </w:numPr>
        <w:rPr>
          <w:rFonts w:cs="Arial"/>
        </w:rPr>
      </w:pPr>
      <w:r w:rsidRPr="00DC4F0B">
        <w:rPr>
          <w:rFonts w:cs="Arial"/>
        </w:rPr>
        <w:t xml:space="preserve">the University’s </w:t>
      </w:r>
      <w:r w:rsidR="00B930A3">
        <w:rPr>
          <w:rFonts w:cs="Arial"/>
        </w:rPr>
        <w:t>IAS</w:t>
      </w:r>
      <w:r w:rsidRPr="00DC4F0B">
        <w:rPr>
          <w:rFonts w:cs="Arial"/>
        </w:rPr>
        <w:t xml:space="preserve"> Officer</w:t>
      </w:r>
      <w:r w:rsidR="00B930A3">
        <w:rPr>
          <w:rFonts w:cs="Arial"/>
        </w:rPr>
        <w:t xml:space="preserve">s have </w:t>
      </w:r>
      <w:r w:rsidRPr="00DC4F0B">
        <w:rPr>
          <w:rFonts w:cs="Arial"/>
        </w:rPr>
        <w:t xml:space="preserve">up to date information about departmental arrangements for dealing with Freedom of Information matters, including the contact details for the </w:t>
      </w:r>
      <w:r w:rsidR="003932AB" w:rsidRPr="00DC4F0B">
        <w:rPr>
          <w:rFonts w:cs="Arial"/>
        </w:rPr>
        <w:t xml:space="preserve">Information Assurance </w:t>
      </w:r>
      <w:r w:rsidRPr="00DC4F0B">
        <w:rPr>
          <w:rFonts w:cs="Arial"/>
        </w:rPr>
        <w:t>Coordinator;</w:t>
      </w:r>
    </w:p>
    <w:p w14:paraId="22378B0A" w14:textId="77777777" w:rsidR="009F0587" w:rsidRPr="00DC4F0B" w:rsidRDefault="009F0587" w:rsidP="009F0587">
      <w:pPr>
        <w:pStyle w:val="L2A"/>
        <w:numPr>
          <w:ilvl w:val="3"/>
          <w:numId w:val="8"/>
        </w:numPr>
        <w:rPr>
          <w:rFonts w:cs="Arial"/>
        </w:rPr>
      </w:pPr>
      <w:r w:rsidRPr="00DC4F0B">
        <w:rPr>
          <w:rFonts w:cs="Arial"/>
        </w:rPr>
        <w:t xml:space="preserve">departmental information </w:t>
      </w:r>
      <w:r w:rsidR="003932AB" w:rsidRPr="00DC4F0B">
        <w:rPr>
          <w:rFonts w:cs="Arial"/>
        </w:rPr>
        <w:t xml:space="preserve">published online is </w:t>
      </w:r>
      <w:r w:rsidRPr="00DC4F0B">
        <w:rPr>
          <w:rFonts w:cs="Arial"/>
        </w:rPr>
        <w:t>reviewed and updated as necessary;</w:t>
      </w:r>
    </w:p>
    <w:p w14:paraId="47DDC1FE" w14:textId="4609FF64" w:rsidR="009F0587" w:rsidRPr="00DC4F0B" w:rsidRDefault="009F0587" w:rsidP="009F0587">
      <w:pPr>
        <w:pStyle w:val="L2A"/>
        <w:numPr>
          <w:ilvl w:val="3"/>
          <w:numId w:val="8"/>
        </w:numPr>
        <w:rPr>
          <w:rFonts w:cs="Arial"/>
        </w:rPr>
      </w:pPr>
      <w:r w:rsidRPr="00DC4F0B">
        <w:rPr>
          <w:rFonts w:cs="Arial"/>
        </w:rPr>
        <w:t xml:space="preserve">all information held within the department is properly documented and retrievable within a period of </w:t>
      </w:r>
      <w:r w:rsidR="002B0DF2">
        <w:rPr>
          <w:rFonts w:cs="Arial"/>
        </w:rPr>
        <w:t>two weeks</w:t>
      </w:r>
      <w:r w:rsidRPr="00DC4F0B">
        <w:rPr>
          <w:rFonts w:cs="Arial"/>
        </w:rPr>
        <w:t xml:space="preserve">;  </w:t>
      </w:r>
    </w:p>
    <w:p w14:paraId="2168126E" w14:textId="77777777" w:rsidR="009F0587" w:rsidRPr="00DC4F0B" w:rsidRDefault="009F0587" w:rsidP="009F0587">
      <w:pPr>
        <w:pStyle w:val="L2A"/>
        <w:numPr>
          <w:ilvl w:val="3"/>
          <w:numId w:val="8"/>
        </w:numPr>
        <w:rPr>
          <w:rFonts w:cs="Arial"/>
        </w:rPr>
      </w:pPr>
      <w:r w:rsidRPr="00DC4F0B">
        <w:rPr>
          <w:rFonts w:cs="Arial"/>
        </w:rPr>
        <w:lastRenderedPageBreak/>
        <w:t xml:space="preserve">where a request for access to information has been made, the relevant data is gathered, under the direction of </w:t>
      </w:r>
      <w:r w:rsidR="00B930A3">
        <w:rPr>
          <w:rFonts w:cs="Arial"/>
        </w:rPr>
        <w:t>an IAS</w:t>
      </w:r>
      <w:r w:rsidRPr="00DC4F0B">
        <w:rPr>
          <w:rFonts w:cs="Arial"/>
        </w:rPr>
        <w:t xml:space="preserve"> Officer, to satisfy the request;</w:t>
      </w:r>
    </w:p>
    <w:p w14:paraId="3097C1AE" w14:textId="77777777" w:rsidR="009F0587" w:rsidRPr="00DC4F0B" w:rsidRDefault="009F0587" w:rsidP="009F0587">
      <w:pPr>
        <w:pStyle w:val="L2A"/>
        <w:numPr>
          <w:ilvl w:val="3"/>
          <w:numId w:val="8"/>
        </w:numPr>
        <w:rPr>
          <w:rFonts w:cs="Arial"/>
        </w:rPr>
      </w:pPr>
      <w:r w:rsidRPr="00DC4F0B">
        <w:rPr>
          <w:rFonts w:cs="Arial"/>
        </w:rPr>
        <w:t>the departmental FOI Co-ordinator has the full cooperation of departmental staff in carrying out their duties with regard to freedom of information;</w:t>
      </w:r>
    </w:p>
    <w:p w14:paraId="48EE0122" w14:textId="77777777" w:rsidR="009F0587" w:rsidRPr="00DC4F0B" w:rsidRDefault="009F0587" w:rsidP="009F0587">
      <w:pPr>
        <w:pStyle w:val="L2A"/>
        <w:numPr>
          <w:ilvl w:val="3"/>
          <w:numId w:val="8"/>
        </w:numPr>
        <w:rPr>
          <w:rFonts w:cs="Arial"/>
        </w:rPr>
      </w:pPr>
      <w:r w:rsidRPr="00DC4F0B">
        <w:rPr>
          <w:rFonts w:cs="Arial"/>
        </w:rPr>
        <w:t>staff (including casual staff) are made aware of their responsibilities and obligations with respect to information held within the department;</w:t>
      </w:r>
    </w:p>
    <w:p w14:paraId="6DAE55C8" w14:textId="77777777" w:rsidR="009F0587" w:rsidRPr="00DC4F0B" w:rsidRDefault="009F0587" w:rsidP="004C21FA">
      <w:pPr>
        <w:pStyle w:val="L2A"/>
        <w:numPr>
          <w:ilvl w:val="3"/>
          <w:numId w:val="8"/>
        </w:numPr>
        <w:rPr>
          <w:rFonts w:cs="Arial"/>
        </w:rPr>
      </w:pPr>
      <w:r w:rsidRPr="00DC4F0B">
        <w:rPr>
          <w:rFonts w:cs="Arial"/>
        </w:rPr>
        <w:t>information held by staff for the purpose of work or study is surrendered or, if appropriate, destroyed when the staff member or student leaves the University, or as soon as is practicable thereafter</w:t>
      </w:r>
      <w:r w:rsidR="003932AB" w:rsidRPr="00DC4F0B">
        <w:rPr>
          <w:rFonts w:cs="Arial"/>
        </w:rPr>
        <w:t xml:space="preserve"> in line with the Records Management Policy.</w:t>
      </w:r>
    </w:p>
    <w:p w14:paraId="541DD117" w14:textId="77777777" w:rsidR="009F0587" w:rsidRPr="00DC4F0B" w:rsidRDefault="009F0587" w:rsidP="009F0587">
      <w:pPr>
        <w:pStyle w:val="L2A"/>
        <w:numPr>
          <w:ilvl w:val="0"/>
          <w:numId w:val="0"/>
        </w:numPr>
        <w:ind w:left="567"/>
        <w:rPr>
          <w:rFonts w:cs="Arial"/>
        </w:rPr>
      </w:pPr>
    </w:p>
    <w:p w14:paraId="16EB4DE1" w14:textId="77777777" w:rsidR="00B173BB" w:rsidRPr="00DC4F0B" w:rsidRDefault="00B173BB" w:rsidP="00B173BB">
      <w:pPr>
        <w:pStyle w:val="L2A"/>
        <w:rPr>
          <w:rFonts w:cs="Arial"/>
          <w:b/>
        </w:rPr>
      </w:pPr>
      <w:r w:rsidRPr="00DC4F0B">
        <w:rPr>
          <w:rFonts w:cs="Arial"/>
          <w:b/>
        </w:rPr>
        <w:t>Information Assurance Coordinators</w:t>
      </w:r>
    </w:p>
    <w:p w14:paraId="5C176124" w14:textId="77777777" w:rsidR="00B173BB" w:rsidRPr="00DC4F0B" w:rsidRDefault="00B173BB" w:rsidP="00765265">
      <w:pPr>
        <w:pStyle w:val="L3A"/>
        <w:numPr>
          <w:ilvl w:val="0"/>
          <w:numId w:val="0"/>
        </w:numPr>
        <w:ind w:left="851"/>
        <w:rPr>
          <w:rFonts w:cs="Arial"/>
        </w:rPr>
      </w:pPr>
      <w:r w:rsidRPr="00DC4F0B">
        <w:rPr>
          <w:rFonts w:cs="Arial"/>
        </w:rPr>
        <w:t>Will assist Heads of Department in undertaking the above responsibilities.  In particular, they will have responsibility for the following:</w:t>
      </w:r>
    </w:p>
    <w:p w14:paraId="07F688F5" w14:textId="77777777" w:rsidR="00B173BB" w:rsidRPr="00DC4F0B" w:rsidRDefault="00B173BB" w:rsidP="004C21FA">
      <w:pPr>
        <w:numPr>
          <w:ilvl w:val="3"/>
          <w:numId w:val="9"/>
        </w:numPr>
        <w:spacing w:after="240"/>
        <w:rPr>
          <w:rFonts w:ascii="Arial" w:hAnsi="Arial" w:cs="Arial"/>
        </w:rPr>
      </w:pPr>
      <w:r w:rsidRPr="00DC4F0B">
        <w:rPr>
          <w:rFonts w:ascii="Arial" w:hAnsi="Arial" w:cs="Arial"/>
        </w:rPr>
        <w:t xml:space="preserve">Organising the retrieval of information from within a department in response to an access request and, in conjunction with the </w:t>
      </w:r>
      <w:r w:rsidR="00B930A3">
        <w:rPr>
          <w:rFonts w:ascii="Arial" w:hAnsi="Arial" w:cs="Arial"/>
        </w:rPr>
        <w:t>IAS</w:t>
      </w:r>
      <w:r w:rsidRPr="00DC4F0B">
        <w:rPr>
          <w:rFonts w:ascii="Arial" w:hAnsi="Arial" w:cs="Arial"/>
        </w:rPr>
        <w:t xml:space="preserve"> Officer, addressing any issues that may arise with respect to the application of exemptions and the need for editing of responses.  </w:t>
      </w:r>
    </w:p>
    <w:p w14:paraId="17F0E18B" w14:textId="77777777" w:rsidR="00B173BB" w:rsidRPr="00DC4F0B" w:rsidRDefault="00B173BB" w:rsidP="00B173BB">
      <w:pPr>
        <w:numPr>
          <w:ilvl w:val="3"/>
          <w:numId w:val="9"/>
        </w:numPr>
        <w:spacing w:after="240"/>
        <w:rPr>
          <w:rFonts w:ascii="Arial" w:hAnsi="Arial" w:cs="Arial"/>
        </w:rPr>
      </w:pPr>
      <w:r w:rsidRPr="00DC4F0B">
        <w:rPr>
          <w:rFonts w:ascii="Arial" w:hAnsi="Arial" w:cs="Arial"/>
        </w:rPr>
        <w:t>Organising the review and update of departmental information contained within the University’s Publication Scheme.</w:t>
      </w:r>
    </w:p>
    <w:p w14:paraId="0F09505D" w14:textId="77777777" w:rsidR="00B173BB" w:rsidRPr="00DC4F0B" w:rsidRDefault="00B173BB" w:rsidP="00765265">
      <w:pPr>
        <w:pStyle w:val="L3A"/>
        <w:numPr>
          <w:ilvl w:val="0"/>
          <w:numId w:val="0"/>
        </w:numPr>
        <w:ind w:left="851"/>
        <w:rPr>
          <w:rFonts w:cs="Arial"/>
        </w:rPr>
      </w:pPr>
      <w:r w:rsidRPr="00DC4F0B">
        <w:rPr>
          <w:rFonts w:cs="Arial"/>
        </w:rPr>
        <w:t>In cases where a Department is too small to warrant the nomination of a Coordinator, this role will be fulfilled by the Head of Department.</w:t>
      </w:r>
    </w:p>
    <w:p w14:paraId="735CC278" w14:textId="77777777" w:rsidR="00B173BB" w:rsidRPr="00DC4F0B" w:rsidRDefault="00B173BB" w:rsidP="00B173BB">
      <w:pPr>
        <w:pStyle w:val="L3A"/>
        <w:numPr>
          <w:ilvl w:val="0"/>
          <w:numId w:val="0"/>
        </w:numPr>
        <w:ind w:left="851"/>
        <w:rPr>
          <w:rFonts w:cs="Arial"/>
        </w:rPr>
      </w:pPr>
    </w:p>
    <w:p w14:paraId="489D68C2" w14:textId="77777777" w:rsidR="002846D7" w:rsidRPr="00DC4F0B" w:rsidRDefault="002846D7" w:rsidP="002846D7">
      <w:pPr>
        <w:pStyle w:val="L2A"/>
        <w:rPr>
          <w:rFonts w:cs="Arial"/>
          <w:b/>
        </w:rPr>
      </w:pPr>
      <w:r w:rsidRPr="00DC4F0B">
        <w:rPr>
          <w:rFonts w:cs="Arial"/>
          <w:b/>
        </w:rPr>
        <w:t>Individual Members of Staff</w:t>
      </w:r>
    </w:p>
    <w:p w14:paraId="59C8BB5C" w14:textId="77777777" w:rsidR="002846D7" w:rsidRPr="00DC4F0B" w:rsidRDefault="002846D7" w:rsidP="00765265">
      <w:pPr>
        <w:pStyle w:val="L3A"/>
        <w:numPr>
          <w:ilvl w:val="0"/>
          <w:numId w:val="0"/>
        </w:numPr>
        <w:ind w:left="851"/>
        <w:rPr>
          <w:rFonts w:cs="Arial"/>
        </w:rPr>
      </w:pPr>
      <w:r w:rsidRPr="00DC4F0B">
        <w:rPr>
          <w:rFonts w:cs="Arial"/>
        </w:rPr>
        <w:t>Every member of staff must comply with the University’s Freedom of Information Policy and any guidelines issued by the University in relation to Freedom of Information.</w:t>
      </w:r>
    </w:p>
    <w:p w14:paraId="04C88CF2" w14:textId="77777777" w:rsidR="002846D7" w:rsidRPr="00DC4F0B" w:rsidRDefault="002846D7" w:rsidP="00765265">
      <w:pPr>
        <w:pStyle w:val="L3A"/>
        <w:numPr>
          <w:ilvl w:val="0"/>
          <w:numId w:val="0"/>
        </w:numPr>
        <w:ind w:left="851"/>
        <w:rPr>
          <w:rFonts w:cs="Arial"/>
        </w:rPr>
      </w:pPr>
      <w:r w:rsidRPr="00DC4F0B">
        <w:rPr>
          <w:rFonts w:cs="Arial"/>
        </w:rPr>
        <w:t xml:space="preserve">Members of staff must refer to </w:t>
      </w:r>
      <w:r w:rsidR="006E4C32" w:rsidRPr="00DC4F0B">
        <w:rPr>
          <w:rFonts w:cs="Arial"/>
        </w:rPr>
        <w:t>Information Assurance Services</w:t>
      </w:r>
      <w:r w:rsidRPr="00DC4F0B">
        <w:rPr>
          <w:rFonts w:cs="Arial"/>
        </w:rPr>
        <w:t xml:space="preserve"> any </w:t>
      </w:r>
      <w:r w:rsidR="006E4C32" w:rsidRPr="00DC4F0B">
        <w:rPr>
          <w:rFonts w:cs="Arial"/>
        </w:rPr>
        <w:t xml:space="preserve">written </w:t>
      </w:r>
      <w:r w:rsidRPr="00DC4F0B">
        <w:rPr>
          <w:rFonts w:cs="Arial"/>
        </w:rPr>
        <w:t xml:space="preserve">request for access to information that makes specific reference to the data protection or freedom of information legislation, or is for access to information that is not normally made available to an individual or to the public.  Members of staff are specifically forbidden to respond to such requests personally.  </w:t>
      </w:r>
    </w:p>
    <w:p w14:paraId="1CD3CF32" w14:textId="77777777" w:rsidR="002846D7" w:rsidRPr="00DC4F0B" w:rsidRDefault="002846D7" w:rsidP="00765265">
      <w:pPr>
        <w:pStyle w:val="L3A"/>
        <w:numPr>
          <w:ilvl w:val="0"/>
          <w:numId w:val="0"/>
        </w:numPr>
        <w:ind w:left="851"/>
        <w:rPr>
          <w:rFonts w:cs="Arial"/>
        </w:rPr>
      </w:pPr>
      <w:r w:rsidRPr="00DC4F0B">
        <w:rPr>
          <w:rFonts w:cs="Arial"/>
        </w:rPr>
        <w:t xml:space="preserve">Members of staff must make provision for access to all information which they hold in connection with their work and duties, and in such a manner that the University is able to respond to requests for access within 20 working days.  </w:t>
      </w:r>
    </w:p>
    <w:p w14:paraId="04C07C3F" w14:textId="77777777" w:rsidR="002846D7" w:rsidRPr="00DC4F0B" w:rsidRDefault="002846D7" w:rsidP="00765265">
      <w:pPr>
        <w:pStyle w:val="L3A"/>
        <w:numPr>
          <w:ilvl w:val="0"/>
          <w:numId w:val="0"/>
        </w:numPr>
        <w:ind w:left="851"/>
        <w:rPr>
          <w:rFonts w:cs="Arial"/>
        </w:rPr>
      </w:pPr>
      <w:r w:rsidRPr="00DC4F0B">
        <w:rPr>
          <w:rFonts w:cs="Arial"/>
        </w:rPr>
        <w:t>Members of staff must also make provision for requests for information addressed to them to be processed promptly in their absence</w:t>
      </w:r>
    </w:p>
    <w:p w14:paraId="676B3083" w14:textId="77777777" w:rsidR="00B173BB" w:rsidRPr="00DC4F0B" w:rsidRDefault="00B173BB" w:rsidP="00B173BB">
      <w:pPr>
        <w:pStyle w:val="L3A"/>
        <w:numPr>
          <w:ilvl w:val="0"/>
          <w:numId w:val="0"/>
        </w:numPr>
        <w:ind w:left="851"/>
        <w:rPr>
          <w:rFonts w:cs="Arial"/>
        </w:rPr>
      </w:pPr>
    </w:p>
    <w:p w14:paraId="1630F134" w14:textId="77777777" w:rsidR="006E4C32" w:rsidRPr="00DC4F0B" w:rsidRDefault="006E4C32" w:rsidP="006E4C32">
      <w:pPr>
        <w:pStyle w:val="L2A"/>
        <w:rPr>
          <w:rFonts w:cs="Arial"/>
          <w:b/>
        </w:rPr>
      </w:pPr>
      <w:r w:rsidRPr="00DC4F0B">
        <w:rPr>
          <w:rFonts w:cs="Arial"/>
          <w:b/>
        </w:rPr>
        <w:t>Others</w:t>
      </w:r>
    </w:p>
    <w:p w14:paraId="6EA202AC" w14:textId="77777777" w:rsidR="006E4C32" w:rsidRDefault="006E4C32" w:rsidP="00765265">
      <w:pPr>
        <w:pStyle w:val="L3A"/>
        <w:numPr>
          <w:ilvl w:val="0"/>
          <w:numId w:val="0"/>
        </w:numPr>
        <w:ind w:left="851"/>
        <w:rPr>
          <w:rFonts w:cs="Arial"/>
        </w:rPr>
      </w:pPr>
      <w:r w:rsidRPr="00DC4F0B">
        <w:rPr>
          <w:rFonts w:cs="Arial"/>
        </w:rPr>
        <w:t xml:space="preserve">Departments may sometimes hire temporary staff or have dealings with external consultants (for example, computer engineers, external examiners </w:t>
      </w:r>
      <w:r w:rsidR="00DC4F0B" w:rsidRPr="00DC4F0B">
        <w:rPr>
          <w:rFonts w:cs="Arial"/>
        </w:rPr>
        <w:t>etc.</w:t>
      </w:r>
      <w:r w:rsidRPr="00DC4F0B">
        <w:rPr>
          <w:rFonts w:cs="Arial"/>
        </w:rPr>
        <w:t xml:space="preserve">).  Heads of Department must ensure that such individuals are made aware of their responsibilities and obligations under the Freedom of Information Act 2000 and are </w:t>
      </w:r>
      <w:r w:rsidRPr="00DC4F0B">
        <w:rPr>
          <w:rFonts w:cs="Arial"/>
        </w:rPr>
        <w:lastRenderedPageBreak/>
        <w:t>informed of this Policy and associated documentation, and of the identity of their departmental Information Assurance Coordinator.</w:t>
      </w:r>
    </w:p>
    <w:p w14:paraId="584D75D2" w14:textId="77777777" w:rsidR="00EC4FC2" w:rsidRDefault="00EC4FC2" w:rsidP="00EC4FC2">
      <w:pPr>
        <w:pStyle w:val="L3A"/>
        <w:numPr>
          <w:ilvl w:val="0"/>
          <w:numId w:val="0"/>
        </w:numPr>
        <w:rPr>
          <w:rFonts w:cs="Arial"/>
        </w:rPr>
      </w:pPr>
    </w:p>
    <w:p w14:paraId="2EADE483" w14:textId="77777777" w:rsidR="00EC4FC2" w:rsidRPr="00DC4F0B" w:rsidRDefault="00EC4FC2" w:rsidP="00EC4FC2">
      <w:pPr>
        <w:pStyle w:val="L3A"/>
        <w:numPr>
          <w:ilvl w:val="0"/>
          <w:numId w:val="0"/>
        </w:numPr>
        <w:rPr>
          <w:rFonts w:cs="Arial"/>
        </w:rPr>
      </w:pPr>
    </w:p>
    <w:p w14:paraId="60244CA8" w14:textId="77777777" w:rsidR="006E2B84" w:rsidRPr="00DC4F0B" w:rsidRDefault="006E2B84" w:rsidP="002C2399">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284"/>
        <w:jc w:val="center"/>
        <w:rPr>
          <w:rFonts w:ascii="Arial" w:hAnsi="Arial" w:cs="Arial"/>
          <w:b/>
        </w:rPr>
      </w:pPr>
      <w:r w:rsidRPr="00DC4F0B">
        <w:rPr>
          <w:rFonts w:ascii="Arial" w:hAnsi="Arial" w:cs="Arial"/>
          <w:b/>
        </w:rPr>
        <w:t>Failure to comply with University Policy may lead to disciplinary action.</w:t>
      </w:r>
    </w:p>
    <w:p w14:paraId="6B9DA56A" w14:textId="77777777" w:rsidR="0012672D" w:rsidRPr="00DC4F0B" w:rsidRDefault="00A76607" w:rsidP="002C2399">
      <w:pPr>
        <w:keepLines/>
        <w:pBdr>
          <w:top w:val="single" w:sz="12" w:space="1" w:color="auto"/>
          <w:bottom w:val="single" w:sz="12" w:space="1" w:color="auto"/>
        </w:pBdr>
        <w:rPr>
          <w:rFonts w:ascii="Arial" w:hAnsi="Arial" w:cs="Arial"/>
        </w:rPr>
      </w:pPr>
      <w:r w:rsidRPr="00DC4F0B">
        <w:rPr>
          <w:rFonts w:ascii="Arial" w:hAnsi="Arial" w:cs="Arial"/>
        </w:rPr>
        <w:t>The official version of this document will be maintained on-line</w:t>
      </w:r>
      <w:r w:rsidR="0079710C" w:rsidRPr="00DC4F0B">
        <w:rPr>
          <w:rFonts w:ascii="Arial" w:hAnsi="Arial" w:cs="Arial"/>
        </w:rPr>
        <w:t xml:space="preserve">.  </w:t>
      </w:r>
      <w:r w:rsidRPr="00DC4F0B">
        <w:rPr>
          <w:rFonts w:ascii="Arial" w:hAnsi="Arial" w:cs="Arial"/>
        </w:rPr>
        <w:t>Before referring to any printed copies please ensure that they are up-to-date.</w:t>
      </w:r>
      <w:r w:rsidR="00CE35BF">
        <w:rPr>
          <w:rFonts w:ascii="Arial" w:hAnsi="Arial" w:cs="Arial"/>
        </w:rPr>
        <w:t xml:space="preserve"> Last updated 2</w:t>
      </w:r>
      <w:r w:rsidR="008E6971">
        <w:rPr>
          <w:rFonts w:ascii="Arial" w:hAnsi="Arial" w:cs="Arial"/>
        </w:rPr>
        <w:t>2 July 2020.</w:t>
      </w:r>
    </w:p>
    <w:sectPr w:rsidR="0012672D" w:rsidRPr="00DC4F0B" w:rsidSect="00D67645">
      <w:footerReference w:type="default" r:id="rId10"/>
      <w:pgSz w:w="11906" w:h="16838" w:code="9"/>
      <w:pgMar w:top="1021"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11E4" w14:textId="77777777" w:rsidR="005D3B1C" w:rsidRDefault="005D3B1C">
      <w:r>
        <w:separator/>
      </w:r>
    </w:p>
  </w:endnote>
  <w:endnote w:type="continuationSeparator" w:id="0">
    <w:p w14:paraId="7A08452F" w14:textId="77777777" w:rsidR="005D3B1C" w:rsidRDefault="005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81AC" w14:textId="77777777" w:rsidR="00EC4FC2" w:rsidRDefault="00EC4FC2" w:rsidP="00641149">
    <w:pPr>
      <w:pStyle w:val="Footer"/>
      <w:pBdr>
        <w:bottom w:val="single" w:sz="12" w:space="1" w:color="auto"/>
      </w:pBdr>
      <w:rPr>
        <w:rFonts w:ascii="Arial" w:hAnsi="Arial" w:cs="Arial"/>
        <w:sz w:val="20"/>
        <w:szCs w:val="20"/>
      </w:rPr>
    </w:pPr>
  </w:p>
  <w:p w14:paraId="39AB759B" w14:textId="77777777" w:rsidR="00EC4FC2" w:rsidRDefault="00EC4FC2" w:rsidP="00641149">
    <w:pPr>
      <w:pStyle w:val="Footer"/>
      <w:rPr>
        <w:rFonts w:ascii="Arial" w:hAnsi="Arial" w:cs="Arial"/>
        <w:sz w:val="20"/>
        <w:szCs w:val="20"/>
      </w:rPr>
    </w:pPr>
  </w:p>
  <w:p w14:paraId="25EB7475" w14:textId="77777777" w:rsidR="00EC4FC2" w:rsidRPr="00D67645" w:rsidRDefault="00EC4FC2" w:rsidP="00A7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1380" w14:textId="77777777" w:rsidR="005D3B1C" w:rsidRDefault="005D3B1C">
      <w:r>
        <w:separator/>
      </w:r>
    </w:p>
  </w:footnote>
  <w:footnote w:type="continuationSeparator" w:id="0">
    <w:p w14:paraId="1B4DBAE2" w14:textId="77777777" w:rsidR="005D3B1C" w:rsidRDefault="005D3B1C">
      <w:r>
        <w:continuationSeparator/>
      </w:r>
    </w:p>
  </w:footnote>
  <w:footnote w:id="1">
    <w:p w14:paraId="3663AD63" w14:textId="77777777" w:rsidR="00EC4FC2" w:rsidRDefault="00EC4FC2" w:rsidP="009F0587">
      <w:pPr>
        <w:pStyle w:val="FootnoteText"/>
        <w:rPr>
          <w:sz w:val="16"/>
        </w:rPr>
      </w:pPr>
      <w:r>
        <w:rPr>
          <w:rStyle w:val="FootnoteReference"/>
          <w:sz w:val="16"/>
        </w:rPr>
        <w:footnoteRef/>
      </w:r>
      <w:r>
        <w:rPr>
          <w:sz w:val="16"/>
        </w:rPr>
        <w:t xml:space="preserve"> In this document references to Department and Heads of Department include Colleges and Corporate Divisions, and Heads of Corporate Divisions and College Directors of Administration unless otherwise 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5C8"/>
    <w:multiLevelType w:val="multilevel"/>
    <w:tmpl w:val="59F47588"/>
    <w:lvl w:ilvl="0">
      <w:start w:val="1"/>
      <w:numFmt w:val="decimal"/>
      <w:lvlText w:val="%1."/>
      <w:lvlJc w:val="left"/>
      <w:pPr>
        <w:tabs>
          <w:tab w:val="num" w:pos="567"/>
        </w:tabs>
        <w:ind w:left="567" w:hanging="567"/>
      </w:pPr>
      <w:rPr>
        <w:rFonts w:ascii="Arial" w:hAnsi="Arial" w:cs="Times New Roman" w:hint="default"/>
        <w:b/>
        <w:i w:val="0"/>
        <w:sz w:val="24"/>
        <w:szCs w:val="24"/>
      </w:rPr>
    </w:lvl>
    <w:lvl w:ilvl="1">
      <w:start w:val="1"/>
      <w:numFmt w:val="decimal"/>
      <w:lvlText w:val="%1.%2"/>
      <w:lvlJc w:val="left"/>
      <w:pPr>
        <w:tabs>
          <w:tab w:val="num" w:pos="567"/>
        </w:tabs>
        <w:ind w:left="567" w:hanging="567"/>
      </w:pPr>
      <w:rPr>
        <w:rFonts w:ascii="Arial" w:hAnsi="Arial" w:cs="Times New Roman" w:hint="default"/>
        <w:b w:val="0"/>
        <w:i w:val="0"/>
        <w:sz w:val="24"/>
        <w:szCs w:val="24"/>
      </w:rPr>
    </w:lvl>
    <w:lvl w:ilvl="2">
      <w:start w:val="1"/>
      <w:numFmt w:val="decimal"/>
      <w:lvlText w:val="%1.%2.%3"/>
      <w:lvlJc w:val="left"/>
      <w:pPr>
        <w:tabs>
          <w:tab w:val="num" w:pos="851"/>
        </w:tabs>
        <w:ind w:left="851" w:hanging="851"/>
      </w:pPr>
      <w:rPr>
        <w:rFonts w:ascii="Arial" w:hAnsi="Arial" w:cs="Times New Roman" w:hint="default"/>
        <w:b w:val="0"/>
        <w:i w:val="0"/>
        <w:sz w:val="24"/>
        <w:szCs w:val="24"/>
      </w:rPr>
    </w:lvl>
    <w:lvl w:ilvl="3">
      <w:start w:val="1"/>
      <w:numFmt w:val="lowerLetter"/>
      <w:lvlText w:val="%4)"/>
      <w:lvlJc w:val="left"/>
      <w:pPr>
        <w:tabs>
          <w:tab w:val="num" w:pos="851"/>
        </w:tabs>
        <w:ind w:left="851" w:hanging="851"/>
      </w:pPr>
      <w:rPr>
        <w:rFonts w:hint="default"/>
        <w:b w:val="0"/>
        <w:i w:val="0"/>
        <w:sz w:val="24"/>
        <w:szCs w:val="24"/>
      </w:rPr>
    </w:lvl>
    <w:lvl w:ilvl="4">
      <w:start w:val="1"/>
      <w:numFmt w:val="lowerLetter"/>
      <w:lvlText w:val="%5)"/>
      <w:lvlJc w:val="left"/>
      <w:pPr>
        <w:tabs>
          <w:tab w:val="num" w:pos="851"/>
        </w:tabs>
        <w:ind w:left="851" w:hanging="284"/>
      </w:pPr>
      <w:rPr>
        <w:rFonts w:ascii="Arial" w:hAnsi="Arial" w:cs="Times New Roman" w:hint="default"/>
      </w:rPr>
    </w:lvl>
    <w:lvl w:ilvl="5">
      <w:start w:val="1"/>
      <w:numFmt w:val="lowerRoman"/>
      <w:lvlText w:val="(%6)"/>
      <w:lvlJc w:val="left"/>
      <w:pPr>
        <w:tabs>
          <w:tab w:val="num" w:pos="851"/>
        </w:tabs>
        <w:ind w:left="851" w:hanging="284"/>
      </w:pPr>
      <w:rPr>
        <w:rFonts w:ascii="Arial" w:hAnsi="Arial" w:cs="Times New Roman" w:hint="default"/>
        <w:b w:val="0"/>
        <w:i w:val="0"/>
        <w:sz w:val="24"/>
        <w:szCs w:val="24"/>
      </w:rPr>
    </w:lvl>
    <w:lvl w:ilvl="6">
      <w:start w:val="1"/>
      <w:numFmt w:val="bullet"/>
      <w:lvlText w:val=""/>
      <w:lvlJc w:val="left"/>
      <w:pPr>
        <w:tabs>
          <w:tab w:val="num" w:pos="851"/>
        </w:tabs>
        <w:ind w:left="851" w:hanging="284"/>
      </w:pPr>
      <w:rPr>
        <w:rFonts w:ascii="Symbol" w:hAnsi="Symbol" w:hint="default"/>
        <w:b w:val="0"/>
        <w:i w:val="0"/>
        <w:sz w:val="24"/>
        <w:szCs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1406C49"/>
    <w:multiLevelType w:val="multilevel"/>
    <w:tmpl w:val="970C3100"/>
    <w:lvl w:ilvl="0">
      <w:start w:val="1"/>
      <w:numFmt w:val="decimal"/>
      <w:lvlText w:val="%1."/>
      <w:lvlJc w:val="left"/>
      <w:pPr>
        <w:tabs>
          <w:tab w:val="num" w:pos="709"/>
        </w:tabs>
        <w:ind w:left="709" w:hanging="709"/>
      </w:pPr>
      <w:rPr>
        <w:rFonts w:ascii="Times New Roman" w:hAnsi="Times New Roman" w:hint="default"/>
        <w:b/>
        <w:i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709"/>
        </w:tabs>
        <w:ind w:left="709" w:hanging="709"/>
      </w:pPr>
      <w:rPr>
        <w:rFonts w:ascii="Times New Roman" w:hAnsi="Times New Roman" w:hint="default"/>
        <w:b w:val="0"/>
        <w:i w:val="0"/>
        <w:sz w:val="24"/>
      </w:rPr>
    </w:lvl>
    <w:lvl w:ilvl="3">
      <w:start w:val="1"/>
      <w:numFmt w:val="lowerLetter"/>
      <w:lvlText w:val="%4)"/>
      <w:lvlJc w:val="left"/>
      <w:pPr>
        <w:tabs>
          <w:tab w:val="num" w:pos="1069"/>
        </w:tabs>
        <w:ind w:left="1066" w:hanging="357"/>
      </w:pPr>
      <w:rPr>
        <w:rFonts w:hint="default"/>
        <w:b w:val="0"/>
        <w:i w:val="0"/>
      </w:rPr>
    </w:lvl>
    <w:lvl w:ilvl="4">
      <w:start w:val="1"/>
      <w:numFmt w:val="lowerRoman"/>
      <w:lvlText w:val="(%5)"/>
      <w:lvlJc w:val="left"/>
      <w:pPr>
        <w:tabs>
          <w:tab w:val="num" w:pos="1786"/>
        </w:tabs>
        <w:ind w:left="1418" w:hanging="352"/>
      </w:pPr>
      <w:rPr>
        <w:rFonts w:hint="default"/>
      </w:rPr>
    </w:lvl>
    <w:lvl w:ilvl="5">
      <w:start w:val="1"/>
      <w:numFmt w:val="none"/>
      <w:lvlText w:val="-"/>
      <w:lvlJc w:val="left"/>
      <w:pPr>
        <w:tabs>
          <w:tab w:val="num" w:pos="1069"/>
        </w:tabs>
        <w:ind w:left="1066" w:hanging="357"/>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935BE1"/>
    <w:multiLevelType w:val="multilevel"/>
    <w:tmpl w:val="970C3100"/>
    <w:lvl w:ilvl="0">
      <w:start w:val="1"/>
      <w:numFmt w:val="decimal"/>
      <w:lvlText w:val="%1."/>
      <w:lvlJc w:val="left"/>
      <w:pPr>
        <w:tabs>
          <w:tab w:val="num" w:pos="709"/>
        </w:tabs>
        <w:ind w:left="709" w:hanging="709"/>
      </w:pPr>
      <w:rPr>
        <w:rFonts w:ascii="Times New Roman" w:hAnsi="Times New Roman" w:hint="default"/>
        <w:b/>
        <w:i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709"/>
        </w:tabs>
        <w:ind w:left="709" w:hanging="709"/>
      </w:pPr>
      <w:rPr>
        <w:rFonts w:ascii="Times New Roman" w:hAnsi="Times New Roman" w:hint="default"/>
        <w:b w:val="0"/>
        <w:i w:val="0"/>
        <w:sz w:val="24"/>
      </w:rPr>
    </w:lvl>
    <w:lvl w:ilvl="3">
      <w:start w:val="1"/>
      <w:numFmt w:val="lowerLetter"/>
      <w:lvlText w:val="%4)"/>
      <w:lvlJc w:val="left"/>
      <w:pPr>
        <w:tabs>
          <w:tab w:val="num" w:pos="1069"/>
        </w:tabs>
        <w:ind w:left="1066" w:hanging="357"/>
      </w:pPr>
      <w:rPr>
        <w:rFonts w:hint="default"/>
        <w:b w:val="0"/>
        <w:i w:val="0"/>
      </w:rPr>
    </w:lvl>
    <w:lvl w:ilvl="4">
      <w:start w:val="1"/>
      <w:numFmt w:val="lowerRoman"/>
      <w:lvlText w:val="(%5)"/>
      <w:lvlJc w:val="left"/>
      <w:pPr>
        <w:tabs>
          <w:tab w:val="num" w:pos="1786"/>
        </w:tabs>
        <w:ind w:left="1418" w:hanging="352"/>
      </w:pPr>
      <w:rPr>
        <w:rFonts w:hint="default"/>
      </w:rPr>
    </w:lvl>
    <w:lvl w:ilvl="5">
      <w:start w:val="1"/>
      <w:numFmt w:val="none"/>
      <w:lvlText w:val="-"/>
      <w:lvlJc w:val="left"/>
      <w:pPr>
        <w:tabs>
          <w:tab w:val="num" w:pos="1069"/>
        </w:tabs>
        <w:ind w:left="1066" w:hanging="357"/>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7E0794"/>
    <w:multiLevelType w:val="multilevel"/>
    <w:tmpl w:val="7A604A9A"/>
    <w:lvl w:ilvl="0">
      <w:start w:val="1"/>
      <w:numFmt w:val="decimal"/>
      <w:pStyle w:val="L1A"/>
      <w:lvlText w:val="%1."/>
      <w:lvlJc w:val="left"/>
      <w:pPr>
        <w:tabs>
          <w:tab w:val="num" w:pos="567"/>
        </w:tabs>
        <w:ind w:left="567" w:hanging="567"/>
      </w:pPr>
      <w:rPr>
        <w:rFonts w:ascii="Arial" w:hAnsi="Arial" w:cs="Times New Roman" w:hint="default"/>
        <w:b/>
        <w:i w:val="0"/>
        <w:sz w:val="24"/>
        <w:szCs w:val="24"/>
      </w:rPr>
    </w:lvl>
    <w:lvl w:ilvl="1">
      <w:start w:val="1"/>
      <w:numFmt w:val="decimal"/>
      <w:pStyle w:val="L2A"/>
      <w:lvlText w:val="%1.%2"/>
      <w:lvlJc w:val="left"/>
      <w:pPr>
        <w:tabs>
          <w:tab w:val="num" w:pos="567"/>
        </w:tabs>
        <w:ind w:left="567" w:hanging="567"/>
      </w:pPr>
      <w:rPr>
        <w:rFonts w:ascii="Arial" w:hAnsi="Arial" w:cs="Times New Roman" w:hint="default"/>
        <w:b w:val="0"/>
        <w:i w:val="0"/>
        <w:sz w:val="24"/>
        <w:szCs w:val="24"/>
      </w:rPr>
    </w:lvl>
    <w:lvl w:ilvl="2">
      <w:start w:val="1"/>
      <w:numFmt w:val="decimal"/>
      <w:pStyle w:val="L3A"/>
      <w:lvlText w:val="%1.%2.%3"/>
      <w:lvlJc w:val="left"/>
      <w:pPr>
        <w:tabs>
          <w:tab w:val="num" w:pos="851"/>
        </w:tabs>
        <w:ind w:left="851" w:hanging="851"/>
      </w:pPr>
      <w:rPr>
        <w:rFonts w:ascii="Arial" w:hAnsi="Arial" w:cs="Times New Roman" w:hint="default"/>
        <w:b w:val="0"/>
        <w:i w:val="0"/>
        <w:sz w:val="24"/>
        <w:szCs w:val="24"/>
      </w:rPr>
    </w:lvl>
    <w:lvl w:ilvl="3">
      <w:start w:val="1"/>
      <w:numFmt w:val="decimal"/>
      <w:pStyle w:val="L4A"/>
      <w:lvlText w:val="%1.%2.%3.%4"/>
      <w:lvlJc w:val="left"/>
      <w:pPr>
        <w:tabs>
          <w:tab w:val="num" w:pos="851"/>
        </w:tabs>
        <w:ind w:left="851" w:hanging="851"/>
      </w:pPr>
      <w:rPr>
        <w:rFonts w:ascii="Arial" w:hAnsi="Arial" w:cs="Times New Roman" w:hint="default"/>
        <w:b w:val="0"/>
        <w:i w:val="0"/>
        <w:sz w:val="24"/>
        <w:szCs w:val="24"/>
      </w:rPr>
    </w:lvl>
    <w:lvl w:ilvl="4">
      <w:start w:val="1"/>
      <w:numFmt w:val="lowerLetter"/>
      <w:pStyle w:val="L5A"/>
      <w:lvlText w:val="%5)"/>
      <w:lvlJc w:val="left"/>
      <w:pPr>
        <w:tabs>
          <w:tab w:val="num" w:pos="851"/>
        </w:tabs>
        <w:ind w:left="851" w:hanging="284"/>
      </w:pPr>
      <w:rPr>
        <w:rFonts w:ascii="Arial" w:hAnsi="Arial" w:cs="Times New Roman" w:hint="default"/>
      </w:rPr>
    </w:lvl>
    <w:lvl w:ilvl="5">
      <w:start w:val="1"/>
      <w:numFmt w:val="lowerRoman"/>
      <w:pStyle w:val="L6A"/>
      <w:lvlText w:val="(%6)"/>
      <w:lvlJc w:val="left"/>
      <w:pPr>
        <w:tabs>
          <w:tab w:val="num" w:pos="851"/>
        </w:tabs>
        <w:ind w:left="851" w:hanging="284"/>
      </w:pPr>
      <w:rPr>
        <w:rFonts w:ascii="Arial" w:hAnsi="Arial" w:cs="Times New Roman" w:hint="default"/>
        <w:b w:val="0"/>
        <w:i w:val="0"/>
        <w:sz w:val="24"/>
        <w:szCs w:val="24"/>
      </w:rPr>
    </w:lvl>
    <w:lvl w:ilvl="6">
      <w:start w:val="1"/>
      <w:numFmt w:val="bullet"/>
      <w:pStyle w:val="L7A"/>
      <w:lvlText w:val=""/>
      <w:lvlJc w:val="left"/>
      <w:pPr>
        <w:tabs>
          <w:tab w:val="num" w:pos="851"/>
        </w:tabs>
        <w:ind w:left="851" w:hanging="284"/>
      </w:pPr>
      <w:rPr>
        <w:rFonts w:ascii="Symbol" w:hAnsi="Symbol" w:hint="default"/>
        <w:b w:val="0"/>
        <w:i w:val="0"/>
        <w:sz w:val="24"/>
        <w:szCs w:val="24"/>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15:restartNumberingAfterBreak="0">
    <w:nsid w:val="4622486D"/>
    <w:multiLevelType w:val="multilevel"/>
    <w:tmpl w:val="970C3100"/>
    <w:lvl w:ilvl="0">
      <w:start w:val="1"/>
      <w:numFmt w:val="decimal"/>
      <w:lvlText w:val="%1."/>
      <w:lvlJc w:val="left"/>
      <w:pPr>
        <w:tabs>
          <w:tab w:val="num" w:pos="709"/>
        </w:tabs>
        <w:ind w:left="709" w:hanging="709"/>
      </w:pPr>
      <w:rPr>
        <w:rFonts w:ascii="Times New Roman" w:hAnsi="Times New Roman" w:hint="default"/>
        <w:b/>
        <w:i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709"/>
        </w:tabs>
        <w:ind w:left="709" w:hanging="709"/>
      </w:pPr>
      <w:rPr>
        <w:rFonts w:ascii="Times New Roman" w:hAnsi="Times New Roman" w:hint="default"/>
        <w:b w:val="0"/>
        <w:i w:val="0"/>
        <w:sz w:val="24"/>
      </w:rPr>
    </w:lvl>
    <w:lvl w:ilvl="3">
      <w:start w:val="1"/>
      <w:numFmt w:val="lowerLetter"/>
      <w:lvlText w:val="%4)"/>
      <w:lvlJc w:val="left"/>
      <w:pPr>
        <w:tabs>
          <w:tab w:val="num" w:pos="1069"/>
        </w:tabs>
        <w:ind w:left="1066" w:hanging="357"/>
      </w:pPr>
      <w:rPr>
        <w:rFonts w:hint="default"/>
        <w:b w:val="0"/>
        <w:i w:val="0"/>
      </w:rPr>
    </w:lvl>
    <w:lvl w:ilvl="4">
      <w:start w:val="1"/>
      <w:numFmt w:val="lowerRoman"/>
      <w:lvlText w:val="(%5)"/>
      <w:lvlJc w:val="left"/>
      <w:pPr>
        <w:tabs>
          <w:tab w:val="num" w:pos="1786"/>
        </w:tabs>
        <w:ind w:left="1418" w:hanging="352"/>
      </w:pPr>
      <w:rPr>
        <w:rFonts w:hint="default"/>
      </w:rPr>
    </w:lvl>
    <w:lvl w:ilvl="5">
      <w:start w:val="1"/>
      <w:numFmt w:val="none"/>
      <w:lvlText w:val="-"/>
      <w:lvlJc w:val="left"/>
      <w:pPr>
        <w:tabs>
          <w:tab w:val="num" w:pos="1069"/>
        </w:tabs>
        <w:ind w:left="1066" w:hanging="357"/>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0F49C1"/>
    <w:multiLevelType w:val="multilevel"/>
    <w:tmpl w:val="970C3100"/>
    <w:lvl w:ilvl="0">
      <w:start w:val="1"/>
      <w:numFmt w:val="decimal"/>
      <w:lvlText w:val="%1."/>
      <w:lvlJc w:val="left"/>
      <w:pPr>
        <w:tabs>
          <w:tab w:val="num" w:pos="709"/>
        </w:tabs>
        <w:ind w:left="709" w:hanging="709"/>
      </w:pPr>
      <w:rPr>
        <w:rFonts w:ascii="Times New Roman" w:hAnsi="Times New Roman" w:hint="default"/>
        <w:b/>
        <w:i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709"/>
        </w:tabs>
        <w:ind w:left="709" w:hanging="709"/>
      </w:pPr>
      <w:rPr>
        <w:rFonts w:ascii="Times New Roman" w:hAnsi="Times New Roman" w:hint="default"/>
        <w:b w:val="0"/>
        <w:i w:val="0"/>
        <w:sz w:val="24"/>
      </w:rPr>
    </w:lvl>
    <w:lvl w:ilvl="3">
      <w:start w:val="1"/>
      <w:numFmt w:val="lowerLetter"/>
      <w:lvlText w:val="%4)"/>
      <w:lvlJc w:val="left"/>
      <w:pPr>
        <w:tabs>
          <w:tab w:val="num" w:pos="1069"/>
        </w:tabs>
        <w:ind w:left="1066" w:hanging="357"/>
      </w:pPr>
      <w:rPr>
        <w:rFonts w:hint="default"/>
        <w:b w:val="0"/>
        <w:i w:val="0"/>
      </w:rPr>
    </w:lvl>
    <w:lvl w:ilvl="4">
      <w:start w:val="1"/>
      <w:numFmt w:val="lowerRoman"/>
      <w:lvlText w:val="(%5)"/>
      <w:lvlJc w:val="left"/>
      <w:pPr>
        <w:tabs>
          <w:tab w:val="num" w:pos="1786"/>
        </w:tabs>
        <w:ind w:left="1418" w:hanging="352"/>
      </w:pPr>
      <w:rPr>
        <w:rFonts w:hint="default"/>
      </w:rPr>
    </w:lvl>
    <w:lvl w:ilvl="5">
      <w:start w:val="1"/>
      <w:numFmt w:val="none"/>
      <w:lvlText w:val="-"/>
      <w:lvlJc w:val="left"/>
      <w:pPr>
        <w:tabs>
          <w:tab w:val="num" w:pos="1069"/>
        </w:tabs>
        <w:ind w:left="1066" w:hanging="357"/>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3F84CB4"/>
    <w:multiLevelType w:val="multilevel"/>
    <w:tmpl w:val="282433A4"/>
    <w:styleLink w:val="CurrentList1"/>
    <w:lvl w:ilvl="0">
      <w:start w:val="1"/>
      <w:numFmt w:val="decimal"/>
      <w:suff w:val="space"/>
      <w:lvlText w:val="%1."/>
      <w:lvlJc w:val="left"/>
      <w:pPr>
        <w:ind w:left="340" w:hanging="340"/>
      </w:pPr>
      <w:rPr>
        <w:rFonts w:cs="Times New Roman" w:hint="default"/>
      </w:rPr>
    </w:lvl>
    <w:lvl w:ilvl="1">
      <w:start w:val="1"/>
      <w:numFmt w:val="decimal"/>
      <w:lvlText w:val="%1.%2."/>
      <w:lvlJc w:val="left"/>
      <w:pPr>
        <w:tabs>
          <w:tab w:val="num" w:pos="0"/>
        </w:tabs>
        <w:ind w:left="284"/>
      </w:pPr>
      <w:rPr>
        <w:rFonts w:cs="Times New Roman" w:hint="default"/>
      </w:rPr>
    </w:lvl>
    <w:lvl w:ilvl="2">
      <w:start w:val="1"/>
      <w:numFmt w:val="decimal"/>
      <w:lvlText w:val="%1.%2.%3."/>
      <w:lvlJc w:val="left"/>
      <w:pPr>
        <w:tabs>
          <w:tab w:val="num" w:pos="1440"/>
        </w:tabs>
        <w:ind w:left="737" w:hanging="1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3"/>
  </w:num>
  <w:num w:numId="3">
    <w:abstractNumId w:val="4"/>
    <w:lvlOverride w:ilvl="0">
      <w:lvl w:ilvl="0">
        <w:start w:val="1"/>
        <w:numFmt w:val="decimal"/>
        <w:lvlText w:val="%1."/>
        <w:lvlJc w:val="left"/>
        <w:pPr>
          <w:tabs>
            <w:tab w:val="num" w:pos="709"/>
          </w:tabs>
          <w:ind w:left="709" w:hanging="709"/>
        </w:pPr>
        <w:rPr>
          <w:rFonts w:ascii="Times New Roman" w:hAnsi="Times New Roman" w:hint="default"/>
          <w:b/>
          <w:i w:val="0"/>
          <w:sz w:val="24"/>
        </w:rPr>
      </w:lvl>
    </w:lvlOverride>
    <w:lvlOverride w:ilvl="1">
      <w:lvl w:ilvl="1">
        <w:start w:val="1"/>
        <w:numFmt w:val="decimal"/>
        <w:lvlText w:val="%1.%2"/>
        <w:lvlJc w:val="left"/>
        <w:pPr>
          <w:tabs>
            <w:tab w:val="num" w:pos="709"/>
          </w:tabs>
          <w:ind w:left="709" w:hanging="709"/>
        </w:pPr>
        <w:rPr>
          <w:rFonts w:ascii="Times New Roman" w:hAnsi="Times New Roman" w:hint="default"/>
          <w:b/>
          <w:i w:val="0"/>
          <w:sz w:val="24"/>
        </w:rPr>
      </w:lvl>
    </w:lvlOverride>
    <w:lvlOverride w:ilvl="2">
      <w:lvl w:ilvl="2">
        <w:start w:val="1"/>
        <w:numFmt w:val="decimal"/>
        <w:lvlText w:val="%1.%2.%3"/>
        <w:lvlJc w:val="left"/>
        <w:pPr>
          <w:tabs>
            <w:tab w:val="num" w:pos="709"/>
          </w:tabs>
          <w:ind w:left="709" w:hanging="709"/>
        </w:pPr>
        <w:rPr>
          <w:rFonts w:ascii="Times New Roman" w:hAnsi="Times New Roman" w:hint="default"/>
          <w:b w:val="0"/>
          <w:i w:val="0"/>
          <w:sz w:val="24"/>
        </w:rPr>
      </w:lvl>
    </w:lvlOverride>
    <w:lvlOverride w:ilvl="3">
      <w:lvl w:ilvl="3">
        <w:start w:val="1"/>
        <w:numFmt w:val="lowerLetter"/>
        <w:lvlText w:val="%4)"/>
        <w:lvlJc w:val="left"/>
        <w:pPr>
          <w:tabs>
            <w:tab w:val="num" w:pos="1069"/>
          </w:tabs>
          <w:ind w:left="1066" w:hanging="357"/>
        </w:pPr>
        <w:rPr>
          <w:rFonts w:hint="default"/>
          <w:b w:val="0"/>
          <w:i w:val="0"/>
        </w:rPr>
      </w:lvl>
    </w:lvlOverride>
    <w:lvlOverride w:ilvl="4">
      <w:lvl w:ilvl="4">
        <w:start w:val="1"/>
        <w:numFmt w:val="lowerRoman"/>
        <w:lvlText w:val="(%5)"/>
        <w:lvlJc w:val="left"/>
        <w:pPr>
          <w:tabs>
            <w:tab w:val="num" w:pos="1786"/>
          </w:tabs>
          <w:ind w:left="1418" w:hanging="352"/>
        </w:pPr>
        <w:rPr>
          <w:rFonts w:hint="default"/>
        </w:rPr>
      </w:lvl>
    </w:lvlOverride>
    <w:lvlOverride w:ilvl="5">
      <w:lvl w:ilvl="5">
        <w:start w:val="1"/>
        <w:numFmt w:val="none"/>
        <w:lvlText w:val="-"/>
        <w:lvlJc w:val="left"/>
        <w:pPr>
          <w:tabs>
            <w:tab w:val="num" w:pos="1069"/>
          </w:tabs>
          <w:ind w:left="1066" w:hanging="357"/>
        </w:pPr>
        <w:rPr>
          <w:rFonts w:hint="default"/>
          <w:b w:val="0"/>
          <w:i w:val="0"/>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4"/>
    <w:lvlOverride w:ilvl="0">
      <w:lvl w:ilvl="0">
        <w:start w:val="1"/>
        <w:numFmt w:val="decimal"/>
        <w:lvlText w:val="%1."/>
        <w:lvlJc w:val="left"/>
        <w:pPr>
          <w:tabs>
            <w:tab w:val="num" w:pos="709"/>
          </w:tabs>
          <w:ind w:left="709" w:hanging="709"/>
        </w:pPr>
        <w:rPr>
          <w:rFonts w:ascii="Times New Roman" w:hAnsi="Times New Roman" w:hint="default"/>
          <w:b/>
          <w:i w:val="0"/>
          <w:sz w:val="24"/>
        </w:rPr>
      </w:lvl>
    </w:lvlOverride>
    <w:lvlOverride w:ilvl="1">
      <w:lvl w:ilvl="1">
        <w:start w:val="1"/>
        <w:numFmt w:val="decimal"/>
        <w:lvlText w:val="%1.%2"/>
        <w:lvlJc w:val="left"/>
        <w:pPr>
          <w:tabs>
            <w:tab w:val="num" w:pos="709"/>
          </w:tabs>
          <w:ind w:left="709" w:hanging="709"/>
        </w:pPr>
        <w:rPr>
          <w:rFonts w:ascii="Times New Roman" w:hAnsi="Times New Roman" w:hint="default"/>
          <w:b w:val="0"/>
          <w:i w:val="0"/>
          <w:sz w:val="24"/>
        </w:rPr>
      </w:lvl>
    </w:lvlOverride>
    <w:lvlOverride w:ilvl="2">
      <w:lvl w:ilvl="2">
        <w:start w:val="1"/>
        <w:numFmt w:val="decimal"/>
        <w:lvlText w:val="%1.%2.%3"/>
        <w:lvlJc w:val="left"/>
        <w:pPr>
          <w:tabs>
            <w:tab w:val="num" w:pos="709"/>
          </w:tabs>
          <w:ind w:left="709" w:hanging="709"/>
        </w:pPr>
        <w:rPr>
          <w:rFonts w:ascii="Times New Roman" w:hAnsi="Times New Roman" w:hint="default"/>
          <w:b w:val="0"/>
          <w:i w:val="0"/>
          <w:sz w:val="24"/>
        </w:rPr>
      </w:lvl>
    </w:lvlOverride>
    <w:lvlOverride w:ilvl="3">
      <w:lvl w:ilvl="3">
        <w:start w:val="1"/>
        <w:numFmt w:val="lowerLetter"/>
        <w:lvlText w:val="%4)"/>
        <w:lvlJc w:val="left"/>
        <w:pPr>
          <w:tabs>
            <w:tab w:val="num" w:pos="1069"/>
          </w:tabs>
          <w:ind w:left="1066" w:hanging="357"/>
        </w:pPr>
        <w:rPr>
          <w:rFonts w:hint="default"/>
          <w:b w:val="0"/>
          <w:i w:val="0"/>
        </w:rPr>
      </w:lvl>
    </w:lvlOverride>
    <w:lvlOverride w:ilvl="4">
      <w:lvl w:ilvl="4">
        <w:start w:val="1"/>
        <w:numFmt w:val="lowerRoman"/>
        <w:lvlText w:val="(%5)"/>
        <w:lvlJc w:val="left"/>
        <w:pPr>
          <w:tabs>
            <w:tab w:val="num" w:pos="1786"/>
          </w:tabs>
          <w:ind w:left="1418" w:hanging="352"/>
        </w:pPr>
        <w:rPr>
          <w:rFonts w:hint="default"/>
        </w:rPr>
      </w:lvl>
    </w:lvlOverride>
    <w:lvlOverride w:ilvl="5">
      <w:lvl w:ilvl="5">
        <w:start w:val="1"/>
        <w:numFmt w:val="none"/>
        <w:lvlText w:val="-"/>
        <w:lvlJc w:val="left"/>
        <w:pPr>
          <w:tabs>
            <w:tab w:val="num" w:pos="1069"/>
          </w:tabs>
          <w:ind w:left="1066" w:hanging="357"/>
        </w:pPr>
        <w:rPr>
          <w:rFonts w:hint="default"/>
          <w:b w:val="0"/>
          <w:i w:val="0"/>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0"/>
  </w:num>
  <w:num w:numId="6">
    <w:abstractNumId w:val="2"/>
  </w:num>
  <w:num w:numId="7">
    <w:abstractNumId w:val="2"/>
    <w:lvlOverride w:ilvl="0">
      <w:lvl w:ilvl="0">
        <w:start w:val="1"/>
        <w:numFmt w:val="decimal"/>
        <w:lvlText w:val="%1."/>
        <w:lvlJc w:val="left"/>
        <w:pPr>
          <w:tabs>
            <w:tab w:val="num" w:pos="709"/>
          </w:tabs>
          <w:ind w:left="709" w:hanging="709"/>
        </w:pPr>
        <w:rPr>
          <w:rFonts w:ascii="Times New Roman" w:hAnsi="Times New Roman" w:hint="default"/>
          <w:b/>
          <w:i w:val="0"/>
          <w:sz w:val="24"/>
        </w:rPr>
      </w:lvl>
    </w:lvlOverride>
    <w:lvlOverride w:ilvl="1">
      <w:lvl w:ilvl="1">
        <w:start w:val="1"/>
        <w:numFmt w:val="decimal"/>
        <w:lvlText w:val="%1.%2"/>
        <w:lvlJc w:val="left"/>
        <w:pPr>
          <w:tabs>
            <w:tab w:val="num" w:pos="709"/>
          </w:tabs>
          <w:ind w:left="709" w:hanging="709"/>
        </w:pPr>
        <w:rPr>
          <w:rFonts w:ascii="Times New Roman" w:hAnsi="Times New Roman" w:hint="default"/>
          <w:b/>
          <w:i w:val="0"/>
          <w:sz w:val="24"/>
        </w:rPr>
      </w:lvl>
    </w:lvlOverride>
    <w:lvlOverride w:ilvl="2">
      <w:lvl w:ilvl="2">
        <w:start w:val="1"/>
        <w:numFmt w:val="decimal"/>
        <w:lvlText w:val="%1.%2.%3"/>
        <w:lvlJc w:val="left"/>
        <w:pPr>
          <w:tabs>
            <w:tab w:val="num" w:pos="709"/>
          </w:tabs>
          <w:ind w:left="709" w:hanging="709"/>
        </w:pPr>
        <w:rPr>
          <w:rFonts w:ascii="Times New Roman" w:hAnsi="Times New Roman" w:hint="default"/>
          <w:b w:val="0"/>
          <w:i w:val="0"/>
          <w:sz w:val="24"/>
        </w:rPr>
      </w:lvl>
    </w:lvlOverride>
    <w:lvlOverride w:ilvl="3">
      <w:lvl w:ilvl="3">
        <w:start w:val="1"/>
        <w:numFmt w:val="lowerLetter"/>
        <w:lvlText w:val="%4)"/>
        <w:lvlJc w:val="left"/>
        <w:pPr>
          <w:tabs>
            <w:tab w:val="num" w:pos="1069"/>
          </w:tabs>
          <w:ind w:left="1066" w:hanging="357"/>
        </w:pPr>
        <w:rPr>
          <w:rFonts w:hint="default"/>
          <w:b w:val="0"/>
          <w:i w:val="0"/>
        </w:rPr>
      </w:lvl>
    </w:lvlOverride>
    <w:lvlOverride w:ilvl="4">
      <w:lvl w:ilvl="4">
        <w:start w:val="1"/>
        <w:numFmt w:val="lowerRoman"/>
        <w:lvlText w:val="(%5)"/>
        <w:lvlJc w:val="left"/>
        <w:pPr>
          <w:tabs>
            <w:tab w:val="num" w:pos="1786"/>
          </w:tabs>
          <w:ind w:left="1418" w:hanging="352"/>
        </w:pPr>
        <w:rPr>
          <w:rFonts w:hint="default"/>
        </w:rPr>
      </w:lvl>
    </w:lvlOverride>
    <w:lvlOverride w:ilvl="5">
      <w:lvl w:ilvl="5">
        <w:start w:val="1"/>
        <w:numFmt w:val="none"/>
        <w:lvlText w:val="-"/>
        <w:lvlJc w:val="left"/>
        <w:pPr>
          <w:tabs>
            <w:tab w:val="num" w:pos="1069"/>
          </w:tabs>
          <w:ind w:left="1066" w:hanging="357"/>
        </w:pPr>
        <w:rPr>
          <w:rFonts w:hint="default"/>
          <w:b w:val="0"/>
          <w:i w:val="0"/>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8">
    <w:abstractNumId w:val="5"/>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BA"/>
    <w:rsid w:val="00000DAF"/>
    <w:rsid w:val="0000106C"/>
    <w:rsid w:val="000029BF"/>
    <w:rsid w:val="000047AD"/>
    <w:rsid w:val="00005C49"/>
    <w:rsid w:val="000143FB"/>
    <w:rsid w:val="000149FE"/>
    <w:rsid w:val="00021B4A"/>
    <w:rsid w:val="00022DE6"/>
    <w:rsid w:val="00024565"/>
    <w:rsid w:val="000269D6"/>
    <w:rsid w:val="00026E5C"/>
    <w:rsid w:val="0002702F"/>
    <w:rsid w:val="00027844"/>
    <w:rsid w:val="00031F57"/>
    <w:rsid w:val="00035D2C"/>
    <w:rsid w:val="000373AD"/>
    <w:rsid w:val="000429C5"/>
    <w:rsid w:val="0004320E"/>
    <w:rsid w:val="0005316A"/>
    <w:rsid w:val="0005619B"/>
    <w:rsid w:val="0006276F"/>
    <w:rsid w:val="00065380"/>
    <w:rsid w:val="0006629A"/>
    <w:rsid w:val="000668FA"/>
    <w:rsid w:val="00071E90"/>
    <w:rsid w:val="00072062"/>
    <w:rsid w:val="000749DE"/>
    <w:rsid w:val="00082145"/>
    <w:rsid w:val="00083496"/>
    <w:rsid w:val="00083BA3"/>
    <w:rsid w:val="000846BB"/>
    <w:rsid w:val="00086737"/>
    <w:rsid w:val="00091D4E"/>
    <w:rsid w:val="000927CE"/>
    <w:rsid w:val="000957E1"/>
    <w:rsid w:val="000958F1"/>
    <w:rsid w:val="000971BB"/>
    <w:rsid w:val="000A01A4"/>
    <w:rsid w:val="000A2CCC"/>
    <w:rsid w:val="000A6361"/>
    <w:rsid w:val="000B084E"/>
    <w:rsid w:val="000B1B39"/>
    <w:rsid w:val="000B4D54"/>
    <w:rsid w:val="000B4ECE"/>
    <w:rsid w:val="000B5557"/>
    <w:rsid w:val="000B61EA"/>
    <w:rsid w:val="000B62B9"/>
    <w:rsid w:val="000B6597"/>
    <w:rsid w:val="000B7F15"/>
    <w:rsid w:val="000C74B4"/>
    <w:rsid w:val="000D2D65"/>
    <w:rsid w:val="000D465F"/>
    <w:rsid w:val="000E141A"/>
    <w:rsid w:val="000E2782"/>
    <w:rsid w:val="000E654A"/>
    <w:rsid w:val="000F1EA0"/>
    <w:rsid w:val="000F300A"/>
    <w:rsid w:val="000F505B"/>
    <w:rsid w:val="000F53D3"/>
    <w:rsid w:val="00100189"/>
    <w:rsid w:val="00101C1F"/>
    <w:rsid w:val="0010450D"/>
    <w:rsid w:val="001062AF"/>
    <w:rsid w:val="0010716B"/>
    <w:rsid w:val="001074F2"/>
    <w:rsid w:val="00111581"/>
    <w:rsid w:val="00112568"/>
    <w:rsid w:val="00112832"/>
    <w:rsid w:val="00115F9F"/>
    <w:rsid w:val="0012672D"/>
    <w:rsid w:val="00127557"/>
    <w:rsid w:val="0013411B"/>
    <w:rsid w:val="00134E53"/>
    <w:rsid w:val="00137F97"/>
    <w:rsid w:val="00140992"/>
    <w:rsid w:val="00141908"/>
    <w:rsid w:val="00144BA1"/>
    <w:rsid w:val="00145841"/>
    <w:rsid w:val="0015125F"/>
    <w:rsid w:val="00155B88"/>
    <w:rsid w:val="00156759"/>
    <w:rsid w:val="00157A29"/>
    <w:rsid w:val="00157DFF"/>
    <w:rsid w:val="00160647"/>
    <w:rsid w:val="00161CF6"/>
    <w:rsid w:val="00164C60"/>
    <w:rsid w:val="001672EC"/>
    <w:rsid w:val="00170D94"/>
    <w:rsid w:val="0017380A"/>
    <w:rsid w:val="00174E24"/>
    <w:rsid w:val="001752F4"/>
    <w:rsid w:val="0018114A"/>
    <w:rsid w:val="00181250"/>
    <w:rsid w:val="001818DE"/>
    <w:rsid w:val="001839AB"/>
    <w:rsid w:val="00190518"/>
    <w:rsid w:val="00191B39"/>
    <w:rsid w:val="00194F3A"/>
    <w:rsid w:val="00197170"/>
    <w:rsid w:val="001A0B1C"/>
    <w:rsid w:val="001A12C6"/>
    <w:rsid w:val="001A2E5F"/>
    <w:rsid w:val="001A7375"/>
    <w:rsid w:val="001B4387"/>
    <w:rsid w:val="001B4599"/>
    <w:rsid w:val="001B78D6"/>
    <w:rsid w:val="001C417D"/>
    <w:rsid w:val="001C5BC2"/>
    <w:rsid w:val="001D28D7"/>
    <w:rsid w:val="001E6586"/>
    <w:rsid w:val="001E7270"/>
    <w:rsid w:val="001F1610"/>
    <w:rsid w:val="001F315C"/>
    <w:rsid w:val="001F40D5"/>
    <w:rsid w:val="002040A8"/>
    <w:rsid w:val="00207886"/>
    <w:rsid w:val="0021729C"/>
    <w:rsid w:val="00223D63"/>
    <w:rsid w:val="00225186"/>
    <w:rsid w:val="00225918"/>
    <w:rsid w:val="00226AD9"/>
    <w:rsid w:val="00233347"/>
    <w:rsid w:val="00235E75"/>
    <w:rsid w:val="0024133B"/>
    <w:rsid w:val="002437D2"/>
    <w:rsid w:val="0024507E"/>
    <w:rsid w:val="0025071E"/>
    <w:rsid w:val="00250AF3"/>
    <w:rsid w:val="0025259A"/>
    <w:rsid w:val="00252F8E"/>
    <w:rsid w:val="0025475F"/>
    <w:rsid w:val="00261624"/>
    <w:rsid w:val="00265162"/>
    <w:rsid w:val="00265C86"/>
    <w:rsid w:val="00266047"/>
    <w:rsid w:val="002711E1"/>
    <w:rsid w:val="002775C7"/>
    <w:rsid w:val="00281E2A"/>
    <w:rsid w:val="0028319B"/>
    <w:rsid w:val="002846D7"/>
    <w:rsid w:val="00284FA8"/>
    <w:rsid w:val="00285D0B"/>
    <w:rsid w:val="002864B1"/>
    <w:rsid w:val="00294F5D"/>
    <w:rsid w:val="0029610D"/>
    <w:rsid w:val="00297977"/>
    <w:rsid w:val="002A0A40"/>
    <w:rsid w:val="002A28D3"/>
    <w:rsid w:val="002A4997"/>
    <w:rsid w:val="002B0DF2"/>
    <w:rsid w:val="002B3C17"/>
    <w:rsid w:val="002C0082"/>
    <w:rsid w:val="002C2399"/>
    <w:rsid w:val="002C2528"/>
    <w:rsid w:val="002C2E61"/>
    <w:rsid w:val="002C610A"/>
    <w:rsid w:val="002D42AA"/>
    <w:rsid w:val="002E2594"/>
    <w:rsid w:val="002E2693"/>
    <w:rsid w:val="002F000E"/>
    <w:rsid w:val="00300A74"/>
    <w:rsid w:val="00300DA5"/>
    <w:rsid w:val="003025D4"/>
    <w:rsid w:val="00303493"/>
    <w:rsid w:val="003042E8"/>
    <w:rsid w:val="00307BF5"/>
    <w:rsid w:val="003109FB"/>
    <w:rsid w:val="00310B9D"/>
    <w:rsid w:val="00311297"/>
    <w:rsid w:val="00313C29"/>
    <w:rsid w:val="003255BC"/>
    <w:rsid w:val="00330950"/>
    <w:rsid w:val="0033096A"/>
    <w:rsid w:val="0033793A"/>
    <w:rsid w:val="00340169"/>
    <w:rsid w:val="00342DC5"/>
    <w:rsid w:val="003521E1"/>
    <w:rsid w:val="0035367E"/>
    <w:rsid w:val="00354BD6"/>
    <w:rsid w:val="003556EE"/>
    <w:rsid w:val="00355F1F"/>
    <w:rsid w:val="00356339"/>
    <w:rsid w:val="0035736C"/>
    <w:rsid w:val="003643F1"/>
    <w:rsid w:val="00365911"/>
    <w:rsid w:val="00365979"/>
    <w:rsid w:val="00366A51"/>
    <w:rsid w:val="0037156C"/>
    <w:rsid w:val="00373304"/>
    <w:rsid w:val="003744ED"/>
    <w:rsid w:val="00375CB9"/>
    <w:rsid w:val="003826DC"/>
    <w:rsid w:val="003827AA"/>
    <w:rsid w:val="003847B1"/>
    <w:rsid w:val="00385F33"/>
    <w:rsid w:val="00392447"/>
    <w:rsid w:val="003932AB"/>
    <w:rsid w:val="0039488D"/>
    <w:rsid w:val="003A24CA"/>
    <w:rsid w:val="003A558E"/>
    <w:rsid w:val="003B0C4E"/>
    <w:rsid w:val="003B4D01"/>
    <w:rsid w:val="003B7C8C"/>
    <w:rsid w:val="003C00AA"/>
    <w:rsid w:val="003C02B0"/>
    <w:rsid w:val="003C1A11"/>
    <w:rsid w:val="003C26FA"/>
    <w:rsid w:val="003C381D"/>
    <w:rsid w:val="003C685A"/>
    <w:rsid w:val="003D36A0"/>
    <w:rsid w:val="003D370D"/>
    <w:rsid w:val="003E0E71"/>
    <w:rsid w:val="003E4302"/>
    <w:rsid w:val="003E5265"/>
    <w:rsid w:val="003E5E58"/>
    <w:rsid w:val="003F062A"/>
    <w:rsid w:val="003F14B7"/>
    <w:rsid w:val="003F6644"/>
    <w:rsid w:val="003F7DBA"/>
    <w:rsid w:val="004039AB"/>
    <w:rsid w:val="00404061"/>
    <w:rsid w:val="004054FD"/>
    <w:rsid w:val="00410F2E"/>
    <w:rsid w:val="00412851"/>
    <w:rsid w:val="00415E76"/>
    <w:rsid w:val="004207BD"/>
    <w:rsid w:val="0042308A"/>
    <w:rsid w:val="004247FE"/>
    <w:rsid w:val="004263E4"/>
    <w:rsid w:val="00432E52"/>
    <w:rsid w:val="00433F4B"/>
    <w:rsid w:val="00446C51"/>
    <w:rsid w:val="00447E08"/>
    <w:rsid w:val="00452D46"/>
    <w:rsid w:val="00453987"/>
    <w:rsid w:val="00455E21"/>
    <w:rsid w:val="00456745"/>
    <w:rsid w:val="00461609"/>
    <w:rsid w:val="00464E2E"/>
    <w:rsid w:val="00465F41"/>
    <w:rsid w:val="00466428"/>
    <w:rsid w:val="00466873"/>
    <w:rsid w:val="004668DF"/>
    <w:rsid w:val="00467076"/>
    <w:rsid w:val="004678DF"/>
    <w:rsid w:val="004746A6"/>
    <w:rsid w:val="00474B5E"/>
    <w:rsid w:val="00476F48"/>
    <w:rsid w:val="0047795D"/>
    <w:rsid w:val="004829AA"/>
    <w:rsid w:val="00483D6E"/>
    <w:rsid w:val="0048474E"/>
    <w:rsid w:val="004864CA"/>
    <w:rsid w:val="00491C49"/>
    <w:rsid w:val="00492128"/>
    <w:rsid w:val="004943BB"/>
    <w:rsid w:val="00494B85"/>
    <w:rsid w:val="0049505E"/>
    <w:rsid w:val="004A25E3"/>
    <w:rsid w:val="004A2BE7"/>
    <w:rsid w:val="004A63D7"/>
    <w:rsid w:val="004A6C1D"/>
    <w:rsid w:val="004B0480"/>
    <w:rsid w:val="004B3D6B"/>
    <w:rsid w:val="004B44DE"/>
    <w:rsid w:val="004B4D21"/>
    <w:rsid w:val="004B6034"/>
    <w:rsid w:val="004B6137"/>
    <w:rsid w:val="004C0D7B"/>
    <w:rsid w:val="004C1057"/>
    <w:rsid w:val="004C129E"/>
    <w:rsid w:val="004C1DAA"/>
    <w:rsid w:val="004C21FA"/>
    <w:rsid w:val="004C4EE4"/>
    <w:rsid w:val="004C5F69"/>
    <w:rsid w:val="004D2622"/>
    <w:rsid w:val="004D2970"/>
    <w:rsid w:val="004D501C"/>
    <w:rsid w:val="004D6198"/>
    <w:rsid w:val="004E323F"/>
    <w:rsid w:val="004E3285"/>
    <w:rsid w:val="004E3C2E"/>
    <w:rsid w:val="004E7A6C"/>
    <w:rsid w:val="004F71D0"/>
    <w:rsid w:val="0050231F"/>
    <w:rsid w:val="005026F1"/>
    <w:rsid w:val="0050374F"/>
    <w:rsid w:val="005064E1"/>
    <w:rsid w:val="00516D65"/>
    <w:rsid w:val="00516E7B"/>
    <w:rsid w:val="0052131F"/>
    <w:rsid w:val="00521691"/>
    <w:rsid w:val="00521AB6"/>
    <w:rsid w:val="00521CFE"/>
    <w:rsid w:val="00522720"/>
    <w:rsid w:val="0052596B"/>
    <w:rsid w:val="005306B3"/>
    <w:rsid w:val="00532155"/>
    <w:rsid w:val="0053717B"/>
    <w:rsid w:val="005412B3"/>
    <w:rsid w:val="005462E2"/>
    <w:rsid w:val="0054775E"/>
    <w:rsid w:val="0055210F"/>
    <w:rsid w:val="005527AE"/>
    <w:rsid w:val="00552E96"/>
    <w:rsid w:val="00556700"/>
    <w:rsid w:val="0055779E"/>
    <w:rsid w:val="00557E09"/>
    <w:rsid w:val="005616C4"/>
    <w:rsid w:val="00562F1F"/>
    <w:rsid w:val="00562F7D"/>
    <w:rsid w:val="005676ED"/>
    <w:rsid w:val="005717F4"/>
    <w:rsid w:val="00571E9D"/>
    <w:rsid w:val="00573E3C"/>
    <w:rsid w:val="00574A1D"/>
    <w:rsid w:val="005769C5"/>
    <w:rsid w:val="00580B24"/>
    <w:rsid w:val="00582A9F"/>
    <w:rsid w:val="00583533"/>
    <w:rsid w:val="005841DF"/>
    <w:rsid w:val="00585551"/>
    <w:rsid w:val="00586605"/>
    <w:rsid w:val="0059032A"/>
    <w:rsid w:val="00594C1D"/>
    <w:rsid w:val="005953AA"/>
    <w:rsid w:val="005953FD"/>
    <w:rsid w:val="00596247"/>
    <w:rsid w:val="00597708"/>
    <w:rsid w:val="005A13B4"/>
    <w:rsid w:val="005A1557"/>
    <w:rsid w:val="005A1D75"/>
    <w:rsid w:val="005A3D58"/>
    <w:rsid w:val="005A7504"/>
    <w:rsid w:val="005B13C8"/>
    <w:rsid w:val="005B29FF"/>
    <w:rsid w:val="005C0D8F"/>
    <w:rsid w:val="005C1AFA"/>
    <w:rsid w:val="005C3765"/>
    <w:rsid w:val="005C67FA"/>
    <w:rsid w:val="005C7BB2"/>
    <w:rsid w:val="005D278D"/>
    <w:rsid w:val="005D2A17"/>
    <w:rsid w:val="005D35E0"/>
    <w:rsid w:val="005D3B1C"/>
    <w:rsid w:val="005D3F58"/>
    <w:rsid w:val="005E07AC"/>
    <w:rsid w:val="005E205E"/>
    <w:rsid w:val="005F1E8B"/>
    <w:rsid w:val="005F4884"/>
    <w:rsid w:val="00600761"/>
    <w:rsid w:val="006023AA"/>
    <w:rsid w:val="00605498"/>
    <w:rsid w:val="00605531"/>
    <w:rsid w:val="00606AAF"/>
    <w:rsid w:val="00612D6B"/>
    <w:rsid w:val="00613086"/>
    <w:rsid w:val="00616BC2"/>
    <w:rsid w:val="00617A46"/>
    <w:rsid w:val="0062037F"/>
    <w:rsid w:val="006308CB"/>
    <w:rsid w:val="006329B9"/>
    <w:rsid w:val="00636642"/>
    <w:rsid w:val="006367CA"/>
    <w:rsid w:val="00636FFF"/>
    <w:rsid w:val="00641149"/>
    <w:rsid w:val="00643642"/>
    <w:rsid w:val="00644063"/>
    <w:rsid w:val="00651999"/>
    <w:rsid w:val="006531D5"/>
    <w:rsid w:val="006536BF"/>
    <w:rsid w:val="00654D53"/>
    <w:rsid w:val="0066309D"/>
    <w:rsid w:val="006675A2"/>
    <w:rsid w:val="0067080F"/>
    <w:rsid w:val="006756F7"/>
    <w:rsid w:val="00681038"/>
    <w:rsid w:val="00682544"/>
    <w:rsid w:val="00691049"/>
    <w:rsid w:val="00691627"/>
    <w:rsid w:val="006926B2"/>
    <w:rsid w:val="0069296B"/>
    <w:rsid w:val="0069509D"/>
    <w:rsid w:val="006951A1"/>
    <w:rsid w:val="00695FF0"/>
    <w:rsid w:val="006A171F"/>
    <w:rsid w:val="006B0A11"/>
    <w:rsid w:val="006B2A43"/>
    <w:rsid w:val="006B2D13"/>
    <w:rsid w:val="006B6341"/>
    <w:rsid w:val="006B7F7B"/>
    <w:rsid w:val="006C21EE"/>
    <w:rsid w:val="006C3E44"/>
    <w:rsid w:val="006D0BD6"/>
    <w:rsid w:val="006D18F1"/>
    <w:rsid w:val="006D63E8"/>
    <w:rsid w:val="006E20B5"/>
    <w:rsid w:val="006E21FF"/>
    <w:rsid w:val="006E269D"/>
    <w:rsid w:val="006E2B84"/>
    <w:rsid w:val="006E4C32"/>
    <w:rsid w:val="006E68DC"/>
    <w:rsid w:val="006F0F1B"/>
    <w:rsid w:val="006F417C"/>
    <w:rsid w:val="006F4BCE"/>
    <w:rsid w:val="006F4DF0"/>
    <w:rsid w:val="006F699F"/>
    <w:rsid w:val="0070030B"/>
    <w:rsid w:val="00701CDE"/>
    <w:rsid w:val="0070466B"/>
    <w:rsid w:val="00704BEE"/>
    <w:rsid w:val="007051A4"/>
    <w:rsid w:val="007074DE"/>
    <w:rsid w:val="00714956"/>
    <w:rsid w:val="00717BEB"/>
    <w:rsid w:val="0072056C"/>
    <w:rsid w:val="00723139"/>
    <w:rsid w:val="00724A29"/>
    <w:rsid w:val="007332AA"/>
    <w:rsid w:val="00733352"/>
    <w:rsid w:val="00733690"/>
    <w:rsid w:val="00734EE4"/>
    <w:rsid w:val="00736DF1"/>
    <w:rsid w:val="00741A12"/>
    <w:rsid w:val="00744E05"/>
    <w:rsid w:val="00747327"/>
    <w:rsid w:val="00747756"/>
    <w:rsid w:val="007545A2"/>
    <w:rsid w:val="00754972"/>
    <w:rsid w:val="0075582F"/>
    <w:rsid w:val="00762F47"/>
    <w:rsid w:val="00763173"/>
    <w:rsid w:val="007635D1"/>
    <w:rsid w:val="00765265"/>
    <w:rsid w:val="0077016A"/>
    <w:rsid w:val="00774830"/>
    <w:rsid w:val="007773C7"/>
    <w:rsid w:val="0078003C"/>
    <w:rsid w:val="0078059C"/>
    <w:rsid w:val="007806C9"/>
    <w:rsid w:val="007816A6"/>
    <w:rsid w:val="00782031"/>
    <w:rsid w:val="00782E58"/>
    <w:rsid w:val="007830E5"/>
    <w:rsid w:val="00783280"/>
    <w:rsid w:val="007839D9"/>
    <w:rsid w:val="0078668D"/>
    <w:rsid w:val="00790573"/>
    <w:rsid w:val="00792345"/>
    <w:rsid w:val="00795EEC"/>
    <w:rsid w:val="00795FAB"/>
    <w:rsid w:val="0079619E"/>
    <w:rsid w:val="0079710C"/>
    <w:rsid w:val="007976E2"/>
    <w:rsid w:val="007A0B10"/>
    <w:rsid w:val="007B4E14"/>
    <w:rsid w:val="007B517E"/>
    <w:rsid w:val="007C4A4C"/>
    <w:rsid w:val="007D140D"/>
    <w:rsid w:val="007D2BA9"/>
    <w:rsid w:val="007D58ED"/>
    <w:rsid w:val="007E43B7"/>
    <w:rsid w:val="007F0D8C"/>
    <w:rsid w:val="007F3AAC"/>
    <w:rsid w:val="007F580D"/>
    <w:rsid w:val="007F5B6E"/>
    <w:rsid w:val="007F6829"/>
    <w:rsid w:val="008061DD"/>
    <w:rsid w:val="00811ACB"/>
    <w:rsid w:val="008168B5"/>
    <w:rsid w:val="00820787"/>
    <w:rsid w:val="00821F30"/>
    <w:rsid w:val="00824653"/>
    <w:rsid w:val="0082511D"/>
    <w:rsid w:val="008270C0"/>
    <w:rsid w:val="00831C85"/>
    <w:rsid w:val="00832DE4"/>
    <w:rsid w:val="0083373F"/>
    <w:rsid w:val="00834B6C"/>
    <w:rsid w:val="00834C2D"/>
    <w:rsid w:val="00841253"/>
    <w:rsid w:val="00843BB1"/>
    <w:rsid w:val="008449BE"/>
    <w:rsid w:val="00845C9D"/>
    <w:rsid w:val="008460CF"/>
    <w:rsid w:val="0084769C"/>
    <w:rsid w:val="00851653"/>
    <w:rsid w:val="008517B5"/>
    <w:rsid w:val="00863E49"/>
    <w:rsid w:val="00866433"/>
    <w:rsid w:val="008738EB"/>
    <w:rsid w:val="008764D0"/>
    <w:rsid w:val="00880A6C"/>
    <w:rsid w:val="00884917"/>
    <w:rsid w:val="00887F31"/>
    <w:rsid w:val="00894994"/>
    <w:rsid w:val="00894B2E"/>
    <w:rsid w:val="0089572E"/>
    <w:rsid w:val="008A5822"/>
    <w:rsid w:val="008B0BE4"/>
    <w:rsid w:val="008B219F"/>
    <w:rsid w:val="008B3D1E"/>
    <w:rsid w:val="008B664A"/>
    <w:rsid w:val="008B6BAF"/>
    <w:rsid w:val="008B7C1B"/>
    <w:rsid w:val="008C305B"/>
    <w:rsid w:val="008D04F7"/>
    <w:rsid w:val="008D242D"/>
    <w:rsid w:val="008D64DF"/>
    <w:rsid w:val="008E3366"/>
    <w:rsid w:val="008E3D95"/>
    <w:rsid w:val="008E5097"/>
    <w:rsid w:val="008E6115"/>
    <w:rsid w:val="008E6971"/>
    <w:rsid w:val="008F31B4"/>
    <w:rsid w:val="008F5C8A"/>
    <w:rsid w:val="008F76C7"/>
    <w:rsid w:val="008F7779"/>
    <w:rsid w:val="00905DB5"/>
    <w:rsid w:val="0091132E"/>
    <w:rsid w:val="00913645"/>
    <w:rsid w:val="00915B9C"/>
    <w:rsid w:val="00916F3D"/>
    <w:rsid w:val="0091714D"/>
    <w:rsid w:val="00917661"/>
    <w:rsid w:val="009218F8"/>
    <w:rsid w:val="00923C55"/>
    <w:rsid w:val="00923E63"/>
    <w:rsid w:val="00937DB5"/>
    <w:rsid w:val="0094036C"/>
    <w:rsid w:val="009444AD"/>
    <w:rsid w:val="00946A07"/>
    <w:rsid w:val="00947EEF"/>
    <w:rsid w:val="00963EF6"/>
    <w:rsid w:val="00963F01"/>
    <w:rsid w:val="00966D37"/>
    <w:rsid w:val="009732E6"/>
    <w:rsid w:val="009741E4"/>
    <w:rsid w:val="00975A7F"/>
    <w:rsid w:val="00976C7C"/>
    <w:rsid w:val="00976CFB"/>
    <w:rsid w:val="00977793"/>
    <w:rsid w:val="00977CF1"/>
    <w:rsid w:val="00980049"/>
    <w:rsid w:val="00980F2E"/>
    <w:rsid w:val="009855FE"/>
    <w:rsid w:val="00985FE1"/>
    <w:rsid w:val="00986DF7"/>
    <w:rsid w:val="00994A37"/>
    <w:rsid w:val="00994CEE"/>
    <w:rsid w:val="00997954"/>
    <w:rsid w:val="00997C33"/>
    <w:rsid w:val="009A35DB"/>
    <w:rsid w:val="009A4838"/>
    <w:rsid w:val="009A4A1F"/>
    <w:rsid w:val="009A5F55"/>
    <w:rsid w:val="009A74A2"/>
    <w:rsid w:val="009B477A"/>
    <w:rsid w:val="009B4E1A"/>
    <w:rsid w:val="009C4C9F"/>
    <w:rsid w:val="009C73C3"/>
    <w:rsid w:val="009D0FC2"/>
    <w:rsid w:val="009D3DE6"/>
    <w:rsid w:val="009D5643"/>
    <w:rsid w:val="009E32BC"/>
    <w:rsid w:val="009E38B3"/>
    <w:rsid w:val="009E7AEA"/>
    <w:rsid w:val="009F0587"/>
    <w:rsid w:val="009F1706"/>
    <w:rsid w:val="009F20A9"/>
    <w:rsid w:val="009F3F11"/>
    <w:rsid w:val="009F61FA"/>
    <w:rsid w:val="009F6E45"/>
    <w:rsid w:val="00A03CBA"/>
    <w:rsid w:val="00A0418B"/>
    <w:rsid w:val="00A0457F"/>
    <w:rsid w:val="00A05228"/>
    <w:rsid w:val="00A07774"/>
    <w:rsid w:val="00A106C6"/>
    <w:rsid w:val="00A1157E"/>
    <w:rsid w:val="00A213C0"/>
    <w:rsid w:val="00A268E1"/>
    <w:rsid w:val="00A331FA"/>
    <w:rsid w:val="00A411E5"/>
    <w:rsid w:val="00A41696"/>
    <w:rsid w:val="00A42151"/>
    <w:rsid w:val="00A42D6B"/>
    <w:rsid w:val="00A4534E"/>
    <w:rsid w:val="00A45F2D"/>
    <w:rsid w:val="00A566F6"/>
    <w:rsid w:val="00A65C99"/>
    <w:rsid w:val="00A6615A"/>
    <w:rsid w:val="00A71C14"/>
    <w:rsid w:val="00A73DB7"/>
    <w:rsid w:val="00A743F8"/>
    <w:rsid w:val="00A752D2"/>
    <w:rsid w:val="00A76607"/>
    <w:rsid w:val="00A80BD4"/>
    <w:rsid w:val="00A814C1"/>
    <w:rsid w:val="00A818A6"/>
    <w:rsid w:val="00A82DDE"/>
    <w:rsid w:val="00A913BD"/>
    <w:rsid w:val="00A915F4"/>
    <w:rsid w:val="00A91A98"/>
    <w:rsid w:val="00A93023"/>
    <w:rsid w:val="00A95038"/>
    <w:rsid w:val="00A978C4"/>
    <w:rsid w:val="00AA123E"/>
    <w:rsid w:val="00AA1BCB"/>
    <w:rsid w:val="00AA3E07"/>
    <w:rsid w:val="00AA6042"/>
    <w:rsid w:val="00AA7928"/>
    <w:rsid w:val="00AA7AE4"/>
    <w:rsid w:val="00AB0830"/>
    <w:rsid w:val="00AB351B"/>
    <w:rsid w:val="00AB6945"/>
    <w:rsid w:val="00AC2651"/>
    <w:rsid w:val="00AD007C"/>
    <w:rsid w:val="00AD0459"/>
    <w:rsid w:val="00AD0607"/>
    <w:rsid w:val="00AD1E4C"/>
    <w:rsid w:val="00AD5B8F"/>
    <w:rsid w:val="00AD68BB"/>
    <w:rsid w:val="00AD6AD1"/>
    <w:rsid w:val="00AD6C04"/>
    <w:rsid w:val="00AE1583"/>
    <w:rsid w:val="00AE15AA"/>
    <w:rsid w:val="00AE3087"/>
    <w:rsid w:val="00AE37E2"/>
    <w:rsid w:val="00AE691F"/>
    <w:rsid w:val="00AE6E81"/>
    <w:rsid w:val="00AF0427"/>
    <w:rsid w:val="00AF440F"/>
    <w:rsid w:val="00AF7E3D"/>
    <w:rsid w:val="00B000C9"/>
    <w:rsid w:val="00B00243"/>
    <w:rsid w:val="00B02524"/>
    <w:rsid w:val="00B066A9"/>
    <w:rsid w:val="00B1526F"/>
    <w:rsid w:val="00B173BB"/>
    <w:rsid w:val="00B200A1"/>
    <w:rsid w:val="00B20F3E"/>
    <w:rsid w:val="00B20FDE"/>
    <w:rsid w:val="00B237DE"/>
    <w:rsid w:val="00B26F19"/>
    <w:rsid w:val="00B27BC8"/>
    <w:rsid w:val="00B303BB"/>
    <w:rsid w:val="00B30974"/>
    <w:rsid w:val="00B319F1"/>
    <w:rsid w:val="00B31CBE"/>
    <w:rsid w:val="00B347EF"/>
    <w:rsid w:val="00B3504C"/>
    <w:rsid w:val="00B35898"/>
    <w:rsid w:val="00B44707"/>
    <w:rsid w:val="00B454B1"/>
    <w:rsid w:val="00B459FA"/>
    <w:rsid w:val="00B460F2"/>
    <w:rsid w:val="00B46173"/>
    <w:rsid w:val="00B53029"/>
    <w:rsid w:val="00B56159"/>
    <w:rsid w:val="00B56F14"/>
    <w:rsid w:val="00B57BAF"/>
    <w:rsid w:val="00B63D6E"/>
    <w:rsid w:val="00B66C43"/>
    <w:rsid w:val="00B709AD"/>
    <w:rsid w:val="00B7549B"/>
    <w:rsid w:val="00B81E59"/>
    <w:rsid w:val="00B87FD6"/>
    <w:rsid w:val="00B930A3"/>
    <w:rsid w:val="00B93B86"/>
    <w:rsid w:val="00B93F1B"/>
    <w:rsid w:val="00B96152"/>
    <w:rsid w:val="00BA06B5"/>
    <w:rsid w:val="00BA282E"/>
    <w:rsid w:val="00BA30BF"/>
    <w:rsid w:val="00BC09AF"/>
    <w:rsid w:val="00BC3144"/>
    <w:rsid w:val="00BC3AE7"/>
    <w:rsid w:val="00BC430F"/>
    <w:rsid w:val="00BC730C"/>
    <w:rsid w:val="00BC7AB6"/>
    <w:rsid w:val="00BD21AA"/>
    <w:rsid w:val="00BD294B"/>
    <w:rsid w:val="00BD38B7"/>
    <w:rsid w:val="00BD40FD"/>
    <w:rsid w:val="00BE020D"/>
    <w:rsid w:val="00BE5C86"/>
    <w:rsid w:val="00BF009B"/>
    <w:rsid w:val="00BF07B3"/>
    <w:rsid w:val="00BF1B20"/>
    <w:rsid w:val="00BF29B2"/>
    <w:rsid w:val="00BF5683"/>
    <w:rsid w:val="00BF613B"/>
    <w:rsid w:val="00C03C51"/>
    <w:rsid w:val="00C03E88"/>
    <w:rsid w:val="00C04CC1"/>
    <w:rsid w:val="00C105EB"/>
    <w:rsid w:val="00C10E69"/>
    <w:rsid w:val="00C124B9"/>
    <w:rsid w:val="00C12666"/>
    <w:rsid w:val="00C147DC"/>
    <w:rsid w:val="00C16CE7"/>
    <w:rsid w:val="00C21759"/>
    <w:rsid w:val="00C23647"/>
    <w:rsid w:val="00C30684"/>
    <w:rsid w:val="00C313B2"/>
    <w:rsid w:val="00C3439E"/>
    <w:rsid w:val="00C40A2B"/>
    <w:rsid w:val="00C44585"/>
    <w:rsid w:val="00C501F8"/>
    <w:rsid w:val="00C52060"/>
    <w:rsid w:val="00C60839"/>
    <w:rsid w:val="00C64385"/>
    <w:rsid w:val="00C70932"/>
    <w:rsid w:val="00C71884"/>
    <w:rsid w:val="00C7300D"/>
    <w:rsid w:val="00C759B5"/>
    <w:rsid w:val="00C77248"/>
    <w:rsid w:val="00C77F95"/>
    <w:rsid w:val="00C86193"/>
    <w:rsid w:val="00C90BF0"/>
    <w:rsid w:val="00C92BBC"/>
    <w:rsid w:val="00C932B9"/>
    <w:rsid w:val="00C96C12"/>
    <w:rsid w:val="00C96F56"/>
    <w:rsid w:val="00CA3360"/>
    <w:rsid w:val="00CA75C9"/>
    <w:rsid w:val="00CB003A"/>
    <w:rsid w:val="00CB0B6E"/>
    <w:rsid w:val="00CC0833"/>
    <w:rsid w:val="00CC2631"/>
    <w:rsid w:val="00CC4C1D"/>
    <w:rsid w:val="00CC7BD4"/>
    <w:rsid w:val="00CD40FE"/>
    <w:rsid w:val="00CD7177"/>
    <w:rsid w:val="00CD7AF8"/>
    <w:rsid w:val="00CE35BF"/>
    <w:rsid w:val="00CE472F"/>
    <w:rsid w:val="00CE6BDC"/>
    <w:rsid w:val="00CE7BBA"/>
    <w:rsid w:val="00CF0C70"/>
    <w:rsid w:val="00CF1AB0"/>
    <w:rsid w:val="00CF4386"/>
    <w:rsid w:val="00CF5307"/>
    <w:rsid w:val="00D041D2"/>
    <w:rsid w:val="00D05748"/>
    <w:rsid w:val="00D05B21"/>
    <w:rsid w:val="00D11A4E"/>
    <w:rsid w:val="00D13091"/>
    <w:rsid w:val="00D156CA"/>
    <w:rsid w:val="00D21C01"/>
    <w:rsid w:val="00D25E62"/>
    <w:rsid w:val="00D31799"/>
    <w:rsid w:val="00D33AE1"/>
    <w:rsid w:val="00D3752A"/>
    <w:rsid w:val="00D37C24"/>
    <w:rsid w:val="00D40E6B"/>
    <w:rsid w:val="00D419CF"/>
    <w:rsid w:val="00D434E7"/>
    <w:rsid w:val="00D449A4"/>
    <w:rsid w:val="00D50867"/>
    <w:rsid w:val="00D509D0"/>
    <w:rsid w:val="00D527D1"/>
    <w:rsid w:val="00D52EC6"/>
    <w:rsid w:val="00D62760"/>
    <w:rsid w:val="00D63B8C"/>
    <w:rsid w:val="00D64904"/>
    <w:rsid w:val="00D64BDA"/>
    <w:rsid w:val="00D64D96"/>
    <w:rsid w:val="00D67645"/>
    <w:rsid w:val="00D67D53"/>
    <w:rsid w:val="00D70158"/>
    <w:rsid w:val="00D714D1"/>
    <w:rsid w:val="00D723EB"/>
    <w:rsid w:val="00D74E7F"/>
    <w:rsid w:val="00D828BF"/>
    <w:rsid w:val="00D83558"/>
    <w:rsid w:val="00D83B1B"/>
    <w:rsid w:val="00D85407"/>
    <w:rsid w:val="00D92CED"/>
    <w:rsid w:val="00DA25CD"/>
    <w:rsid w:val="00DA296E"/>
    <w:rsid w:val="00DA39B6"/>
    <w:rsid w:val="00DB0C7A"/>
    <w:rsid w:val="00DB12EE"/>
    <w:rsid w:val="00DB1BE0"/>
    <w:rsid w:val="00DB1D1D"/>
    <w:rsid w:val="00DB4372"/>
    <w:rsid w:val="00DB5E03"/>
    <w:rsid w:val="00DB6B6F"/>
    <w:rsid w:val="00DC230C"/>
    <w:rsid w:val="00DC3099"/>
    <w:rsid w:val="00DC4F0B"/>
    <w:rsid w:val="00DD1C84"/>
    <w:rsid w:val="00DD27D6"/>
    <w:rsid w:val="00DD301C"/>
    <w:rsid w:val="00DD5137"/>
    <w:rsid w:val="00DD52F5"/>
    <w:rsid w:val="00DD5F72"/>
    <w:rsid w:val="00DE3F5D"/>
    <w:rsid w:val="00DF0073"/>
    <w:rsid w:val="00DF1DF1"/>
    <w:rsid w:val="00DF293E"/>
    <w:rsid w:val="00DF3D9E"/>
    <w:rsid w:val="00DF4370"/>
    <w:rsid w:val="00DF4579"/>
    <w:rsid w:val="00DF5700"/>
    <w:rsid w:val="00E00264"/>
    <w:rsid w:val="00E00B8D"/>
    <w:rsid w:val="00E01411"/>
    <w:rsid w:val="00E036EC"/>
    <w:rsid w:val="00E056F7"/>
    <w:rsid w:val="00E16F11"/>
    <w:rsid w:val="00E175FC"/>
    <w:rsid w:val="00E26EA8"/>
    <w:rsid w:val="00E3070E"/>
    <w:rsid w:val="00E32921"/>
    <w:rsid w:val="00E32BFB"/>
    <w:rsid w:val="00E33039"/>
    <w:rsid w:val="00E36C7C"/>
    <w:rsid w:val="00E3732A"/>
    <w:rsid w:val="00E42E46"/>
    <w:rsid w:val="00E4635B"/>
    <w:rsid w:val="00E47CB8"/>
    <w:rsid w:val="00E5070E"/>
    <w:rsid w:val="00E54347"/>
    <w:rsid w:val="00E54718"/>
    <w:rsid w:val="00E54F47"/>
    <w:rsid w:val="00E650DA"/>
    <w:rsid w:val="00E74908"/>
    <w:rsid w:val="00E83AF9"/>
    <w:rsid w:val="00E8651C"/>
    <w:rsid w:val="00E86657"/>
    <w:rsid w:val="00E92EBC"/>
    <w:rsid w:val="00E975CA"/>
    <w:rsid w:val="00EA019A"/>
    <w:rsid w:val="00EA1D5F"/>
    <w:rsid w:val="00EB16C4"/>
    <w:rsid w:val="00EB1B44"/>
    <w:rsid w:val="00EC204B"/>
    <w:rsid w:val="00EC4FC2"/>
    <w:rsid w:val="00EC5D9C"/>
    <w:rsid w:val="00ED18C7"/>
    <w:rsid w:val="00ED1900"/>
    <w:rsid w:val="00ED4795"/>
    <w:rsid w:val="00ED48FC"/>
    <w:rsid w:val="00EE07C7"/>
    <w:rsid w:val="00EE1F6E"/>
    <w:rsid w:val="00EE27B4"/>
    <w:rsid w:val="00EF0642"/>
    <w:rsid w:val="00EF09BD"/>
    <w:rsid w:val="00EF0DAA"/>
    <w:rsid w:val="00EF5CFB"/>
    <w:rsid w:val="00F0049C"/>
    <w:rsid w:val="00F029EF"/>
    <w:rsid w:val="00F0445D"/>
    <w:rsid w:val="00F05E15"/>
    <w:rsid w:val="00F06747"/>
    <w:rsid w:val="00F07BE1"/>
    <w:rsid w:val="00F1234D"/>
    <w:rsid w:val="00F126FE"/>
    <w:rsid w:val="00F14DA3"/>
    <w:rsid w:val="00F158AC"/>
    <w:rsid w:val="00F234FB"/>
    <w:rsid w:val="00F24B2E"/>
    <w:rsid w:val="00F250BC"/>
    <w:rsid w:val="00F26C71"/>
    <w:rsid w:val="00F30E41"/>
    <w:rsid w:val="00F34AB1"/>
    <w:rsid w:val="00F35AA1"/>
    <w:rsid w:val="00F40626"/>
    <w:rsid w:val="00F4310F"/>
    <w:rsid w:val="00F44972"/>
    <w:rsid w:val="00F455A8"/>
    <w:rsid w:val="00F50198"/>
    <w:rsid w:val="00F50BEE"/>
    <w:rsid w:val="00F52400"/>
    <w:rsid w:val="00F557D9"/>
    <w:rsid w:val="00F605B5"/>
    <w:rsid w:val="00F63606"/>
    <w:rsid w:val="00F647AD"/>
    <w:rsid w:val="00F7066B"/>
    <w:rsid w:val="00F73366"/>
    <w:rsid w:val="00F73461"/>
    <w:rsid w:val="00F73777"/>
    <w:rsid w:val="00F77979"/>
    <w:rsid w:val="00F80340"/>
    <w:rsid w:val="00F806CF"/>
    <w:rsid w:val="00F83412"/>
    <w:rsid w:val="00F87BA1"/>
    <w:rsid w:val="00F906A3"/>
    <w:rsid w:val="00F91539"/>
    <w:rsid w:val="00F93B02"/>
    <w:rsid w:val="00F95106"/>
    <w:rsid w:val="00F95C68"/>
    <w:rsid w:val="00FA1B44"/>
    <w:rsid w:val="00FA1F78"/>
    <w:rsid w:val="00FA21D0"/>
    <w:rsid w:val="00FA5AF5"/>
    <w:rsid w:val="00FB24F4"/>
    <w:rsid w:val="00FB615E"/>
    <w:rsid w:val="00FC2320"/>
    <w:rsid w:val="00FC34B6"/>
    <w:rsid w:val="00FC44C2"/>
    <w:rsid w:val="00FC6657"/>
    <w:rsid w:val="00FC6E97"/>
    <w:rsid w:val="00FD655C"/>
    <w:rsid w:val="00FE23FD"/>
    <w:rsid w:val="00FE4A7C"/>
    <w:rsid w:val="00FE6051"/>
    <w:rsid w:val="00FE60E6"/>
    <w:rsid w:val="00FE61E6"/>
    <w:rsid w:val="00FE75DC"/>
    <w:rsid w:val="00FF1F04"/>
    <w:rsid w:val="00FF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11AAA"/>
  <w15:docId w15:val="{B397B929-945D-4480-A121-5A4E0C13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45"/>
    <w:rPr>
      <w:sz w:val="24"/>
      <w:szCs w:val="24"/>
      <w:lang w:eastAsia="ja-JP"/>
    </w:rPr>
  </w:style>
  <w:style w:type="paragraph" w:styleId="Heading1">
    <w:name w:val="heading 1"/>
    <w:basedOn w:val="Normal"/>
    <w:next w:val="Normal"/>
    <w:qFormat/>
    <w:rsid w:val="00E975CA"/>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A73DB7"/>
    <w:pPr>
      <w:numPr>
        <w:ilvl w:val="7"/>
        <w:numId w:val="2"/>
      </w:numPr>
      <w:spacing w:before="240" w:after="60"/>
      <w:outlineLvl w:val="7"/>
    </w:pPr>
    <w:rPr>
      <w:rFonts w:ascii="Arial" w:eastAsia="Times New Roman" w:hAnsi="Arial"/>
      <w:i/>
      <w:iCs/>
      <w:lang w:eastAsia="en-US"/>
    </w:rPr>
  </w:style>
  <w:style w:type="paragraph" w:styleId="Heading9">
    <w:name w:val="heading 9"/>
    <w:basedOn w:val="Normal"/>
    <w:next w:val="Normal"/>
    <w:link w:val="Heading9Char"/>
    <w:qFormat/>
    <w:rsid w:val="00A73DB7"/>
    <w:pPr>
      <w:numPr>
        <w:ilvl w:val="8"/>
        <w:numId w:val="2"/>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F1AB0"/>
    <w:pPr>
      <w:shd w:val="clear" w:color="auto" w:fill="000080"/>
    </w:pPr>
    <w:rPr>
      <w:rFonts w:ascii="Tahoma" w:hAnsi="Tahoma" w:cs="Tahoma"/>
      <w:sz w:val="20"/>
      <w:szCs w:val="20"/>
    </w:rPr>
  </w:style>
  <w:style w:type="table" w:styleId="TableGrid">
    <w:name w:val="Table Grid"/>
    <w:basedOn w:val="TableNormal"/>
    <w:rsid w:val="0002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016A"/>
    <w:pPr>
      <w:tabs>
        <w:tab w:val="center" w:pos="4153"/>
        <w:tab w:val="right" w:pos="8306"/>
      </w:tabs>
    </w:pPr>
  </w:style>
  <w:style w:type="paragraph" w:styleId="Footer">
    <w:name w:val="footer"/>
    <w:basedOn w:val="Normal"/>
    <w:rsid w:val="0077016A"/>
    <w:pPr>
      <w:tabs>
        <w:tab w:val="center" w:pos="4153"/>
        <w:tab w:val="right" w:pos="8306"/>
      </w:tabs>
    </w:pPr>
  </w:style>
  <w:style w:type="character" w:styleId="PageNumber">
    <w:name w:val="page number"/>
    <w:basedOn w:val="DefaultParagraphFont"/>
    <w:rsid w:val="0077016A"/>
    <w:rPr>
      <w:rFonts w:cs="Times New Roman"/>
    </w:rPr>
  </w:style>
  <w:style w:type="paragraph" w:styleId="BalloonText">
    <w:name w:val="Balloon Text"/>
    <w:basedOn w:val="Normal"/>
    <w:semiHidden/>
    <w:rsid w:val="00E32BFB"/>
    <w:rPr>
      <w:rFonts w:ascii="Tahoma" w:hAnsi="Tahoma" w:cs="Tahoma"/>
      <w:sz w:val="16"/>
      <w:szCs w:val="16"/>
    </w:rPr>
  </w:style>
  <w:style w:type="character" w:styleId="Hyperlink">
    <w:name w:val="Hyperlink"/>
    <w:basedOn w:val="DefaultParagraphFont"/>
    <w:rsid w:val="00342DC5"/>
    <w:rPr>
      <w:color w:val="0000FF"/>
      <w:u w:val="single"/>
    </w:rPr>
  </w:style>
  <w:style w:type="numbering" w:customStyle="1" w:styleId="CurrentList1">
    <w:name w:val="Current List1"/>
    <w:rsid w:val="00476F48"/>
    <w:pPr>
      <w:numPr>
        <w:numId w:val="1"/>
      </w:numPr>
    </w:pPr>
  </w:style>
  <w:style w:type="paragraph" w:styleId="ListParagraph">
    <w:name w:val="List Paragraph"/>
    <w:basedOn w:val="Normal"/>
    <w:uiPriority w:val="34"/>
    <w:qFormat/>
    <w:rsid w:val="00D11A4E"/>
    <w:pPr>
      <w:ind w:left="720"/>
      <w:contextualSpacing/>
    </w:pPr>
  </w:style>
  <w:style w:type="paragraph" w:styleId="Revision">
    <w:name w:val="Revision"/>
    <w:hidden/>
    <w:uiPriority w:val="99"/>
    <w:semiHidden/>
    <w:rsid w:val="00294F5D"/>
    <w:rPr>
      <w:sz w:val="24"/>
      <w:szCs w:val="24"/>
      <w:lang w:eastAsia="ja-JP"/>
    </w:rPr>
  </w:style>
  <w:style w:type="character" w:customStyle="1" w:styleId="Heading8Char">
    <w:name w:val="Heading 8 Char"/>
    <w:basedOn w:val="DefaultParagraphFont"/>
    <w:link w:val="Heading8"/>
    <w:rsid w:val="00A73DB7"/>
    <w:rPr>
      <w:rFonts w:ascii="Arial" w:eastAsia="Times New Roman" w:hAnsi="Arial"/>
      <w:i/>
      <w:iCs/>
      <w:sz w:val="24"/>
      <w:szCs w:val="24"/>
      <w:lang w:eastAsia="en-US"/>
    </w:rPr>
  </w:style>
  <w:style w:type="character" w:customStyle="1" w:styleId="Heading9Char">
    <w:name w:val="Heading 9 Char"/>
    <w:basedOn w:val="DefaultParagraphFont"/>
    <w:link w:val="Heading9"/>
    <w:rsid w:val="00A73DB7"/>
    <w:rPr>
      <w:rFonts w:ascii="Arial" w:eastAsia="Times New Roman" w:hAnsi="Arial" w:cs="Arial"/>
      <w:sz w:val="22"/>
      <w:szCs w:val="22"/>
      <w:lang w:eastAsia="en-US"/>
    </w:rPr>
  </w:style>
  <w:style w:type="paragraph" w:customStyle="1" w:styleId="L1A">
    <w:name w:val="L1A"/>
    <w:basedOn w:val="Normal"/>
    <w:qFormat/>
    <w:rsid w:val="00A73DB7"/>
    <w:pPr>
      <w:numPr>
        <w:numId w:val="2"/>
      </w:numPr>
      <w:spacing w:before="120" w:after="120"/>
      <w:outlineLvl w:val="0"/>
    </w:pPr>
    <w:rPr>
      <w:rFonts w:ascii="Arial" w:eastAsia="Times New Roman" w:hAnsi="Arial"/>
      <w:b/>
      <w:lang w:eastAsia="en-US"/>
    </w:rPr>
  </w:style>
  <w:style w:type="paragraph" w:customStyle="1" w:styleId="L2A">
    <w:name w:val="L2A"/>
    <w:basedOn w:val="Normal"/>
    <w:qFormat/>
    <w:rsid w:val="00A73DB7"/>
    <w:pPr>
      <w:numPr>
        <w:ilvl w:val="1"/>
        <w:numId w:val="2"/>
      </w:numPr>
      <w:spacing w:before="120" w:after="120"/>
    </w:pPr>
    <w:rPr>
      <w:rFonts w:ascii="Arial" w:eastAsia="Times New Roman" w:hAnsi="Arial"/>
      <w:lang w:eastAsia="en-US"/>
    </w:rPr>
  </w:style>
  <w:style w:type="paragraph" w:customStyle="1" w:styleId="L3A">
    <w:name w:val="L3A"/>
    <w:basedOn w:val="Normal"/>
    <w:qFormat/>
    <w:rsid w:val="00A73DB7"/>
    <w:pPr>
      <w:numPr>
        <w:ilvl w:val="2"/>
        <w:numId w:val="2"/>
      </w:numPr>
      <w:spacing w:before="120" w:after="120"/>
    </w:pPr>
    <w:rPr>
      <w:rFonts w:ascii="Arial" w:eastAsia="Times New Roman" w:hAnsi="Arial"/>
      <w:lang w:eastAsia="en-US"/>
    </w:rPr>
  </w:style>
  <w:style w:type="paragraph" w:customStyle="1" w:styleId="L4A">
    <w:name w:val="L4A"/>
    <w:basedOn w:val="Normal"/>
    <w:qFormat/>
    <w:rsid w:val="00A73DB7"/>
    <w:pPr>
      <w:numPr>
        <w:ilvl w:val="3"/>
        <w:numId w:val="2"/>
      </w:numPr>
      <w:spacing w:before="120" w:after="120"/>
    </w:pPr>
    <w:rPr>
      <w:rFonts w:ascii="Arial" w:eastAsia="Times New Roman" w:hAnsi="Arial"/>
      <w:lang w:eastAsia="en-US"/>
    </w:rPr>
  </w:style>
  <w:style w:type="paragraph" w:customStyle="1" w:styleId="L5A">
    <w:name w:val="L5A"/>
    <w:basedOn w:val="Normal"/>
    <w:qFormat/>
    <w:rsid w:val="00A73DB7"/>
    <w:pPr>
      <w:numPr>
        <w:ilvl w:val="4"/>
        <w:numId w:val="2"/>
      </w:numPr>
    </w:pPr>
    <w:rPr>
      <w:rFonts w:ascii="Arial" w:eastAsia="Times New Roman" w:hAnsi="Arial"/>
      <w:lang w:eastAsia="en-US"/>
    </w:rPr>
  </w:style>
  <w:style w:type="paragraph" w:customStyle="1" w:styleId="L6A">
    <w:name w:val="L6A"/>
    <w:basedOn w:val="Normal"/>
    <w:qFormat/>
    <w:rsid w:val="00A73DB7"/>
    <w:pPr>
      <w:numPr>
        <w:ilvl w:val="5"/>
        <w:numId w:val="2"/>
      </w:numPr>
    </w:pPr>
    <w:rPr>
      <w:rFonts w:ascii="Arial" w:eastAsia="Times New Roman" w:hAnsi="Arial"/>
      <w:lang w:eastAsia="en-US"/>
    </w:rPr>
  </w:style>
  <w:style w:type="paragraph" w:customStyle="1" w:styleId="L7A">
    <w:name w:val="L7A"/>
    <w:basedOn w:val="Normal"/>
    <w:rsid w:val="00A73DB7"/>
    <w:pPr>
      <w:numPr>
        <w:ilvl w:val="6"/>
        <w:numId w:val="2"/>
      </w:numPr>
      <w:spacing w:before="120" w:after="120"/>
    </w:pPr>
    <w:rPr>
      <w:rFonts w:ascii="Arial" w:eastAsia="Times New Roman" w:hAnsi="Arial"/>
      <w:lang w:eastAsia="en-US"/>
    </w:rPr>
  </w:style>
  <w:style w:type="paragraph" w:styleId="FootnoteText">
    <w:name w:val="footnote text"/>
    <w:basedOn w:val="Normal"/>
    <w:link w:val="FootnoteTextChar"/>
    <w:rsid w:val="009F0587"/>
    <w:rPr>
      <w:rFonts w:eastAsia="Times New Roman"/>
      <w:sz w:val="20"/>
      <w:szCs w:val="20"/>
      <w:lang w:eastAsia="en-US"/>
    </w:rPr>
  </w:style>
  <w:style w:type="character" w:customStyle="1" w:styleId="FootnoteTextChar">
    <w:name w:val="Footnote Text Char"/>
    <w:basedOn w:val="DefaultParagraphFont"/>
    <w:link w:val="FootnoteText"/>
    <w:rsid w:val="009F0587"/>
    <w:rPr>
      <w:rFonts w:eastAsia="Times New Roman"/>
      <w:lang w:eastAsia="en-US"/>
    </w:rPr>
  </w:style>
  <w:style w:type="character" w:styleId="FootnoteReference">
    <w:name w:val="footnote reference"/>
    <w:basedOn w:val="DefaultParagraphFont"/>
    <w:rsid w:val="009F0587"/>
    <w:rPr>
      <w:vertAlign w:val="superscript"/>
    </w:rPr>
  </w:style>
  <w:style w:type="character" w:styleId="CommentReference">
    <w:name w:val="annotation reference"/>
    <w:basedOn w:val="DefaultParagraphFont"/>
    <w:semiHidden/>
    <w:unhideWhenUsed/>
    <w:rsid w:val="006329B9"/>
    <w:rPr>
      <w:sz w:val="16"/>
      <w:szCs w:val="16"/>
    </w:rPr>
  </w:style>
  <w:style w:type="paragraph" w:styleId="CommentText">
    <w:name w:val="annotation text"/>
    <w:basedOn w:val="Normal"/>
    <w:link w:val="CommentTextChar"/>
    <w:semiHidden/>
    <w:unhideWhenUsed/>
    <w:rsid w:val="006329B9"/>
    <w:rPr>
      <w:sz w:val="20"/>
      <w:szCs w:val="20"/>
    </w:rPr>
  </w:style>
  <w:style w:type="character" w:customStyle="1" w:styleId="CommentTextChar">
    <w:name w:val="Comment Text Char"/>
    <w:basedOn w:val="DefaultParagraphFont"/>
    <w:link w:val="CommentText"/>
    <w:semiHidden/>
    <w:rsid w:val="006329B9"/>
    <w:rPr>
      <w:lang w:eastAsia="ja-JP"/>
    </w:rPr>
  </w:style>
  <w:style w:type="paragraph" w:styleId="CommentSubject">
    <w:name w:val="annotation subject"/>
    <w:basedOn w:val="CommentText"/>
    <w:next w:val="CommentText"/>
    <w:link w:val="CommentSubjectChar"/>
    <w:semiHidden/>
    <w:unhideWhenUsed/>
    <w:rsid w:val="006329B9"/>
    <w:rPr>
      <w:b/>
      <w:bCs/>
    </w:rPr>
  </w:style>
  <w:style w:type="character" w:customStyle="1" w:styleId="CommentSubjectChar">
    <w:name w:val="Comment Subject Char"/>
    <w:basedOn w:val="CommentTextChar"/>
    <w:link w:val="CommentSubject"/>
    <w:semiHidden/>
    <w:rsid w:val="006329B9"/>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5844">
      <w:bodyDiv w:val="1"/>
      <w:marLeft w:val="0"/>
      <w:marRight w:val="0"/>
      <w:marTop w:val="0"/>
      <w:marBottom w:val="0"/>
      <w:divBdr>
        <w:top w:val="none" w:sz="0" w:space="0" w:color="auto"/>
        <w:left w:val="none" w:sz="0" w:space="0" w:color="auto"/>
        <w:bottom w:val="none" w:sz="0" w:space="0" w:color="auto"/>
        <w:right w:val="none" w:sz="0" w:space="0" w:color="auto"/>
      </w:divBdr>
    </w:div>
    <w:div w:id="1239251171">
      <w:bodyDiv w:val="1"/>
      <w:marLeft w:val="0"/>
      <w:marRight w:val="0"/>
      <w:marTop w:val="0"/>
      <w:marBottom w:val="0"/>
      <w:divBdr>
        <w:top w:val="none" w:sz="0" w:space="0" w:color="auto"/>
        <w:left w:val="none" w:sz="0" w:space="0" w:color="auto"/>
        <w:bottom w:val="none" w:sz="0" w:space="0" w:color="auto"/>
        <w:right w:val="none" w:sz="0" w:space="0" w:color="auto"/>
      </w:divBdr>
    </w:div>
    <w:div w:id="1278873832">
      <w:bodyDiv w:val="1"/>
      <w:marLeft w:val="0"/>
      <w:marRight w:val="0"/>
      <w:marTop w:val="0"/>
      <w:marBottom w:val="0"/>
      <w:divBdr>
        <w:top w:val="none" w:sz="0" w:space="0" w:color="auto"/>
        <w:left w:val="none" w:sz="0" w:space="0" w:color="auto"/>
        <w:bottom w:val="none" w:sz="0" w:space="0" w:color="auto"/>
        <w:right w:val="none" w:sz="0" w:space="0" w:color="auto"/>
      </w:divBdr>
    </w:div>
    <w:div w:id="1363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ords.management@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B61A-6EC4-4100-870B-195386F0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University of Leicester</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cmn</dc:creator>
  <cp:lastModifiedBy>Vadgama, Reni</cp:lastModifiedBy>
  <cp:revision>3</cp:revision>
  <cp:lastPrinted>2012-11-28T08:59:00Z</cp:lastPrinted>
  <dcterms:created xsi:type="dcterms:W3CDTF">2020-07-22T12:24:00Z</dcterms:created>
  <dcterms:modified xsi:type="dcterms:W3CDTF">2020-07-29T09:11:00Z</dcterms:modified>
</cp:coreProperties>
</file>